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64724" w:rsidRDefault="00360063">
      <w:pPr>
        <w:spacing w:line="240" w:lineRule="auto"/>
        <w:jc w:val="center"/>
        <w:rPr>
          <w:b/>
          <w:sz w:val="24"/>
          <w:szCs w:val="24"/>
        </w:rPr>
      </w:pPr>
      <w:r>
        <w:rPr>
          <w:b/>
          <w:sz w:val="24"/>
          <w:szCs w:val="24"/>
        </w:rPr>
        <w:t>Tanulási támpontok Immunológiai előadás (AOK-KU101-1)</w:t>
      </w:r>
    </w:p>
    <w:p w:rsidR="00B64724" w:rsidRDefault="00B64724">
      <w:pPr>
        <w:spacing w:line="240" w:lineRule="auto"/>
        <w:jc w:val="both"/>
        <w:rPr>
          <w:b/>
          <w:sz w:val="24"/>
          <w:szCs w:val="24"/>
        </w:rPr>
      </w:pPr>
    </w:p>
    <w:p w:rsidR="00B64724" w:rsidRDefault="00360063">
      <w:pPr>
        <w:spacing w:before="120" w:after="0" w:line="240" w:lineRule="auto"/>
        <w:jc w:val="both"/>
        <w:rPr>
          <w:b/>
          <w:sz w:val="24"/>
          <w:szCs w:val="24"/>
        </w:rPr>
      </w:pPr>
      <w:r>
        <w:rPr>
          <w:b/>
          <w:sz w:val="24"/>
          <w:szCs w:val="24"/>
          <w:u w:val="single"/>
        </w:rPr>
        <w:t>1. előadás:</w:t>
      </w:r>
      <w:r>
        <w:rPr>
          <w:b/>
          <w:sz w:val="24"/>
          <w:szCs w:val="24"/>
        </w:rPr>
        <w:t xml:space="preserve"> Az immunrendszer felépítése, működési elve. Központi és perifériás nyirokszervek.</w:t>
      </w:r>
    </w:p>
    <w:p w:rsidR="00B64724" w:rsidRDefault="00360063">
      <w:pPr>
        <w:spacing w:before="120" w:after="0" w:line="240" w:lineRule="auto"/>
        <w:jc w:val="both"/>
        <w:rPr>
          <w:sz w:val="24"/>
          <w:szCs w:val="24"/>
        </w:rPr>
      </w:pPr>
      <w:r>
        <w:rPr>
          <w:sz w:val="24"/>
          <w:szCs w:val="24"/>
        </w:rPr>
        <w:t>Ismertesse az immunológia tör</w:t>
      </w:r>
      <w:bookmarkStart w:id="0" w:name="_GoBack"/>
      <w:bookmarkEnd w:id="0"/>
      <w:r>
        <w:rPr>
          <w:sz w:val="24"/>
          <w:szCs w:val="24"/>
        </w:rPr>
        <w:t xml:space="preserve">ténetét, helyét és szerepét az orvosbiológiai tudományokban. </w:t>
      </w:r>
      <w:r>
        <w:rPr>
          <w:sz w:val="24"/>
          <w:szCs w:val="24"/>
        </w:rPr>
        <w:br/>
        <w:t>Ismertesse az immunitás és az antigén fogalmát. Mutassa be az immunrendszer feladatait, működési elvét.  Ismertesse a veleszületett és az adaptív immunitás fogalmát.</w:t>
      </w:r>
      <w:r>
        <w:rPr>
          <w:sz w:val="24"/>
          <w:szCs w:val="24"/>
        </w:rPr>
        <w:t xml:space="preserve">  Ismertesse az immunhomeosztázis fogalmát. Mutassa be az immunrendszer sejtjeit, kialakulásukat. Továbbá mutassa be az immunrendszer szöveteit, szerveit. Beszéljen a csontvelő, csecsemőmirigy, lép, nyirokcsomók, nyirokerek szerepéről. Ismertesse az immunp</w:t>
      </w:r>
      <w:r>
        <w:rPr>
          <w:sz w:val="24"/>
          <w:szCs w:val="24"/>
        </w:rPr>
        <w:t>rivilegizált helyeket. Ismertesse a nyálkahártyákkal asszociált immunvédekezés fogalma. Beszéljen a bőr immunológiai szerepéről.</w:t>
      </w:r>
    </w:p>
    <w:p w:rsidR="00B64724" w:rsidRDefault="00360063">
      <w:pPr>
        <w:spacing w:line="240" w:lineRule="auto"/>
        <w:rPr>
          <w:b/>
          <w:sz w:val="24"/>
          <w:szCs w:val="24"/>
        </w:rPr>
      </w:pPr>
      <w:r>
        <w:rPr>
          <w:b/>
          <w:sz w:val="24"/>
          <w:szCs w:val="24"/>
        </w:rPr>
        <w:t>Normálértékek:</w:t>
      </w:r>
    </w:p>
    <w:tbl>
      <w:tblPr>
        <w:tblStyle w:val="a"/>
        <w:tblW w:w="85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70"/>
        <w:gridCol w:w="1905"/>
        <w:gridCol w:w="2505"/>
      </w:tblGrid>
      <w:tr w:rsidR="00B64724">
        <w:trPr>
          <w:trHeight w:val="284"/>
        </w:trPr>
        <w:tc>
          <w:tcPr>
            <w:tcW w:w="4170" w:type="dxa"/>
            <w:shd w:val="clear" w:color="auto" w:fill="FFFFFF"/>
            <w:tcMar>
              <w:top w:w="60" w:type="dxa"/>
              <w:left w:w="75" w:type="dxa"/>
              <w:bottom w:w="60" w:type="dxa"/>
              <w:right w:w="150" w:type="dxa"/>
            </w:tcMar>
            <w:vAlign w:val="center"/>
          </w:tcPr>
          <w:p w:rsidR="00B64724" w:rsidRDefault="00360063">
            <w:pPr>
              <w:spacing w:after="0" w:line="240" w:lineRule="auto"/>
              <w:rPr>
                <w:color w:val="222222"/>
                <w:sz w:val="24"/>
                <w:szCs w:val="24"/>
              </w:rPr>
            </w:pPr>
            <w:r>
              <w:rPr>
                <w:b/>
                <w:color w:val="222222"/>
                <w:sz w:val="24"/>
                <w:szCs w:val="24"/>
              </w:rPr>
              <w:t>Sejtek</w:t>
            </w:r>
          </w:p>
        </w:tc>
        <w:tc>
          <w:tcPr>
            <w:tcW w:w="1905" w:type="dxa"/>
            <w:shd w:val="clear" w:color="auto" w:fill="FFFFFF"/>
            <w:tcMar>
              <w:top w:w="60" w:type="dxa"/>
              <w:left w:w="75" w:type="dxa"/>
              <w:bottom w:w="60" w:type="dxa"/>
              <w:right w:w="150" w:type="dxa"/>
            </w:tcMar>
            <w:vAlign w:val="center"/>
          </w:tcPr>
          <w:p w:rsidR="00B64724" w:rsidRDefault="00360063">
            <w:pPr>
              <w:spacing w:after="0" w:line="240" w:lineRule="auto"/>
              <w:rPr>
                <w:color w:val="222222"/>
                <w:sz w:val="24"/>
                <w:szCs w:val="24"/>
              </w:rPr>
            </w:pPr>
            <w:r>
              <w:rPr>
                <w:b/>
                <w:color w:val="222222"/>
                <w:sz w:val="24"/>
                <w:szCs w:val="24"/>
              </w:rPr>
              <w:t>Százalékos arány</w:t>
            </w:r>
          </w:p>
        </w:tc>
        <w:tc>
          <w:tcPr>
            <w:tcW w:w="2505" w:type="dxa"/>
            <w:shd w:val="clear" w:color="auto" w:fill="FFFFFF"/>
            <w:tcMar>
              <w:top w:w="60" w:type="dxa"/>
              <w:left w:w="75" w:type="dxa"/>
              <w:bottom w:w="60" w:type="dxa"/>
              <w:right w:w="150" w:type="dxa"/>
            </w:tcMar>
            <w:vAlign w:val="center"/>
          </w:tcPr>
          <w:p w:rsidR="00B64724" w:rsidRDefault="00360063">
            <w:pPr>
              <w:spacing w:after="0" w:line="240" w:lineRule="auto"/>
              <w:rPr>
                <w:color w:val="222222"/>
                <w:sz w:val="24"/>
                <w:szCs w:val="24"/>
                <w:vertAlign w:val="superscript"/>
              </w:rPr>
            </w:pPr>
            <w:r>
              <w:rPr>
                <w:b/>
                <w:color w:val="222222"/>
                <w:sz w:val="24"/>
                <w:szCs w:val="24"/>
              </w:rPr>
              <w:t>Sejtszám/mm</w:t>
            </w:r>
            <w:r>
              <w:rPr>
                <w:b/>
                <w:color w:val="222222"/>
                <w:sz w:val="24"/>
                <w:szCs w:val="24"/>
                <w:vertAlign w:val="superscript"/>
              </w:rPr>
              <w:t>3</w:t>
            </w:r>
          </w:p>
        </w:tc>
      </w:tr>
      <w:tr w:rsidR="00B64724">
        <w:trPr>
          <w:trHeight w:val="597"/>
        </w:trPr>
        <w:tc>
          <w:tcPr>
            <w:tcW w:w="4170" w:type="dxa"/>
            <w:shd w:val="clear" w:color="auto" w:fill="FFFFFF"/>
            <w:tcMar>
              <w:top w:w="60" w:type="dxa"/>
              <w:left w:w="75" w:type="dxa"/>
              <w:bottom w:w="60" w:type="dxa"/>
              <w:right w:w="150" w:type="dxa"/>
            </w:tcMar>
            <w:vAlign w:val="center"/>
          </w:tcPr>
          <w:p w:rsidR="00B64724" w:rsidRDefault="00360063">
            <w:pPr>
              <w:spacing w:after="0" w:line="240" w:lineRule="auto"/>
              <w:rPr>
                <w:color w:val="222222"/>
                <w:sz w:val="24"/>
                <w:szCs w:val="24"/>
              </w:rPr>
            </w:pPr>
            <w:r>
              <w:rPr>
                <w:b/>
                <w:color w:val="222222"/>
                <w:sz w:val="24"/>
                <w:szCs w:val="24"/>
              </w:rPr>
              <w:t>Fehérvérsejtek </w:t>
            </w:r>
            <w:r>
              <w:rPr>
                <w:color w:val="222222"/>
                <w:sz w:val="24"/>
                <w:szCs w:val="24"/>
              </w:rPr>
              <w:t>(</w:t>
            </w:r>
            <w:r>
              <w:rPr>
                <w:i/>
                <w:color w:val="222222"/>
                <w:sz w:val="24"/>
                <w:szCs w:val="24"/>
              </w:rPr>
              <w:t>leukociták</w:t>
            </w:r>
            <w:r>
              <w:rPr>
                <w:b/>
                <w:color w:val="222222"/>
                <w:sz w:val="24"/>
                <w:szCs w:val="24"/>
              </w:rPr>
              <w:t>)</w:t>
            </w:r>
          </w:p>
        </w:tc>
        <w:tc>
          <w:tcPr>
            <w:tcW w:w="1905" w:type="dxa"/>
            <w:shd w:val="clear" w:color="auto" w:fill="FFFFFF"/>
            <w:tcMar>
              <w:top w:w="60" w:type="dxa"/>
              <w:left w:w="75" w:type="dxa"/>
              <w:bottom w:w="60" w:type="dxa"/>
              <w:right w:w="150" w:type="dxa"/>
            </w:tcMar>
            <w:vAlign w:val="center"/>
          </w:tcPr>
          <w:p w:rsidR="00B64724" w:rsidRDefault="00B64724">
            <w:pPr>
              <w:spacing w:after="0" w:line="240" w:lineRule="auto"/>
              <w:rPr>
                <w:color w:val="222222"/>
                <w:sz w:val="24"/>
                <w:szCs w:val="24"/>
              </w:rPr>
            </w:pPr>
          </w:p>
        </w:tc>
        <w:tc>
          <w:tcPr>
            <w:tcW w:w="2505" w:type="dxa"/>
            <w:shd w:val="clear" w:color="auto" w:fill="FFFFFF"/>
            <w:tcMar>
              <w:top w:w="60" w:type="dxa"/>
              <w:left w:w="75" w:type="dxa"/>
              <w:bottom w:w="60" w:type="dxa"/>
              <w:right w:w="150" w:type="dxa"/>
            </w:tcMar>
            <w:vAlign w:val="center"/>
          </w:tcPr>
          <w:p w:rsidR="00B64724" w:rsidRDefault="00360063">
            <w:pPr>
              <w:spacing w:after="360" w:line="240" w:lineRule="auto"/>
              <w:rPr>
                <w:color w:val="222222"/>
                <w:sz w:val="24"/>
                <w:szCs w:val="24"/>
                <w:vertAlign w:val="superscript"/>
              </w:rPr>
            </w:pPr>
            <w:r>
              <w:rPr>
                <w:color w:val="222222"/>
                <w:sz w:val="24"/>
                <w:szCs w:val="24"/>
              </w:rPr>
              <w:br/>
              <w:t>3</w:t>
            </w:r>
            <w:r w:rsidR="007D2C76">
              <w:rPr>
                <w:color w:val="222222"/>
                <w:sz w:val="24"/>
                <w:szCs w:val="24"/>
              </w:rPr>
              <w:t>,</w:t>
            </w:r>
            <w:r>
              <w:rPr>
                <w:color w:val="222222"/>
                <w:sz w:val="24"/>
                <w:szCs w:val="24"/>
              </w:rPr>
              <w:t>8-10,5 x 10</w:t>
            </w:r>
            <w:r>
              <w:rPr>
                <w:color w:val="222222"/>
                <w:sz w:val="24"/>
                <w:szCs w:val="24"/>
                <w:vertAlign w:val="superscript"/>
              </w:rPr>
              <w:t>3</w:t>
            </w:r>
          </w:p>
        </w:tc>
      </w:tr>
      <w:tr w:rsidR="00B64724">
        <w:trPr>
          <w:trHeight w:val="340"/>
        </w:trPr>
        <w:tc>
          <w:tcPr>
            <w:tcW w:w="4170" w:type="dxa"/>
            <w:shd w:val="clear" w:color="auto" w:fill="FFFFFF"/>
            <w:tcMar>
              <w:top w:w="60" w:type="dxa"/>
              <w:left w:w="75" w:type="dxa"/>
              <w:bottom w:w="60" w:type="dxa"/>
              <w:right w:w="150" w:type="dxa"/>
            </w:tcMar>
            <w:vAlign w:val="center"/>
          </w:tcPr>
          <w:p w:rsidR="00B64724" w:rsidRDefault="00360063">
            <w:pPr>
              <w:spacing w:after="360" w:line="240" w:lineRule="auto"/>
              <w:rPr>
                <w:color w:val="222222"/>
                <w:sz w:val="24"/>
                <w:szCs w:val="24"/>
              </w:rPr>
            </w:pPr>
            <w:r>
              <w:rPr>
                <w:color w:val="222222"/>
                <w:sz w:val="24"/>
                <w:szCs w:val="24"/>
              </w:rPr>
              <w:t>Neutrofil granulocita</w:t>
            </w:r>
          </w:p>
        </w:tc>
        <w:tc>
          <w:tcPr>
            <w:tcW w:w="1905" w:type="dxa"/>
            <w:shd w:val="clear" w:color="auto" w:fill="FFFFFF"/>
            <w:tcMar>
              <w:top w:w="60" w:type="dxa"/>
              <w:left w:w="75" w:type="dxa"/>
              <w:bottom w:w="60" w:type="dxa"/>
              <w:right w:w="150" w:type="dxa"/>
            </w:tcMar>
            <w:vAlign w:val="center"/>
          </w:tcPr>
          <w:p w:rsidR="00B64724" w:rsidRDefault="00360063">
            <w:pPr>
              <w:spacing w:after="360" w:line="240" w:lineRule="auto"/>
              <w:rPr>
                <w:color w:val="222222"/>
                <w:sz w:val="24"/>
                <w:szCs w:val="24"/>
              </w:rPr>
            </w:pPr>
            <w:r>
              <w:rPr>
                <w:color w:val="222222"/>
                <w:sz w:val="24"/>
                <w:szCs w:val="24"/>
              </w:rPr>
              <w:t>45 – 65</w:t>
            </w:r>
          </w:p>
        </w:tc>
        <w:tc>
          <w:tcPr>
            <w:tcW w:w="2505" w:type="dxa"/>
            <w:shd w:val="clear" w:color="auto" w:fill="FFFFFF"/>
            <w:tcMar>
              <w:top w:w="60" w:type="dxa"/>
              <w:left w:w="75" w:type="dxa"/>
              <w:bottom w:w="60" w:type="dxa"/>
              <w:right w:w="150" w:type="dxa"/>
            </w:tcMar>
            <w:vAlign w:val="center"/>
          </w:tcPr>
          <w:p w:rsidR="00B64724" w:rsidRDefault="00360063">
            <w:pPr>
              <w:spacing w:after="360" w:line="240" w:lineRule="auto"/>
              <w:rPr>
                <w:color w:val="222222"/>
                <w:sz w:val="24"/>
                <w:szCs w:val="24"/>
                <w:vertAlign w:val="superscript"/>
              </w:rPr>
            </w:pPr>
            <w:r>
              <w:rPr>
                <w:color w:val="222222"/>
                <w:sz w:val="24"/>
                <w:szCs w:val="24"/>
              </w:rPr>
              <w:t>1,8-7,3 x 10</w:t>
            </w:r>
            <w:r>
              <w:rPr>
                <w:color w:val="222222"/>
                <w:sz w:val="24"/>
                <w:szCs w:val="24"/>
                <w:vertAlign w:val="superscript"/>
              </w:rPr>
              <w:t>3</w:t>
            </w:r>
          </w:p>
        </w:tc>
      </w:tr>
      <w:tr w:rsidR="00B64724">
        <w:trPr>
          <w:trHeight w:val="340"/>
        </w:trPr>
        <w:tc>
          <w:tcPr>
            <w:tcW w:w="4170" w:type="dxa"/>
            <w:shd w:val="clear" w:color="auto" w:fill="FFFFFF"/>
            <w:tcMar>
              <w:top w:w="60" w:type="dxa"/>
              <w:left w:w="75" w:type="dxa"/>
              <w:bottom w:w="60" w:type="dxa"/>
              <w:right w:w="150" w:type="dxa"/>
            </w:tcMar>
            <w:vAlign w:val="center"/>
          </w:tcPr>
          <w:p w:rsidR="00B64724" w:rsidRDefault="00360063">
            <w:pPr>
              <w:spacing w:after="360" w:line="240" w:lineRule="auto"/>
              <w:rPr>
                <w:color w:val="222222"/>
                <w:sz w:val="24"/>
                <w:szCs w:val="24"/>
              </w:rPr>
            </w:pPr>
            <w:r>
              <w:rPr>
                <w:color w:val="222222"/>
                <w:sz w:val="24"/>
                <w:szCs w:val="24"/>
              </w:rPr>
              <w:t>Eozinofil granulocita</w:t>
            </w:r>
          </w:p>
        </w:tc>
        <w:tc>
          <w:tcPr>
            <w:tcW w:w="1905" w:type="dxa"/>
            <w:shd w:val="clear" w:color="auto" w:fill="FFFFFF"/>
            <w:tcMar>
              <w:top w:w="60" w:type="dxa"/>
              <w:left w:w="75" w:type="dxa"/>
              <w:bottom w:w="60" w:type="dxa"/>
              <w:right w:w="150" w:type="dxa"/>
            </w:tcMar>
            <w:vAlign w:val="center"/>
          </w:tcPr>
          <w:p w:rsidR="00B64724" w:rsidRDefault="00360063">
            <w:pPr>
              <w:spacing w:after="360" w:line="240" w:lineRule="auto"/>
              <w:rPr>
                <w:color w:val="222222"/>
                <w:sz w:val="24"/>
                <w:szCs w:val="24"/>
              </w:rPr>
            </w:pPr>
            <w:r>
              <w:rPr>
                <w:color w:val="222222"/>
                <w:sz w:val="24"/>
                <w:szCs w:val="24"/>
              </w:rPr>
              <w:t>1-3</w:t>
            </w:r>
          </w:p>
        </w:tc>
        <w:tc>
          <w:tcPr>
            <w:tcW w:w="2505" w:type="dxa"/>
            <w:shd w:val="clear" w:color="auto" w:fill="FFFFFF"/>
            <w:tcMar>
              <w:top w:w="60" w:type="dxa"/>
              <w:left w:w="75" w:type="dxa"/>
              <w:bottom w:w="60" w:type="dxa"/>
              <w:right w:w="150" w:type="dxa"/>
            </w:tcMar>
            <w:vAlign w:val="center"/>
          </w:tcPr>
          <w:p w:rsidR="00B64724" w:rsidRDefault="00360063">
            <w:pPr>
              <w:spacing w:after="360" w:line="240" w:lineRule="auto"/>
              <w:rPr>
                <w:color w:val="222222"/>
                <w:sz w:val="24"/>
                <w:szCs w:val="24"/>
              </w:rPr>
            </w:pPr>
            <w:r>
              <w:rPr>
                <w:color w:val="222222"/>
                <w:sz w:val="24"/>
                <w:szCs w:val="24"/>
              </w:rPr>
              <w:t>80-360</w:t>
            </w:r>
          </w:p>
        </w:tc>
      </w:tr>
      <w:tr w:rsidR="00B64724">
        <w:trPr>
          <w:trHeight w:val="340"/>
        </w:trPr>
        <w:tc>
          <w:tcPr>
            <w:tcW w:w="4170" w:type="dxa"/>
            <w:shd w:val="clear" w:color="auto" w:fill="FFFFFF"/>
            <w:tcMar>
              <w:top w:w="60" w:type="dxa"/>
              <w:left w:w="75" w:type="dxa"/>
              <w:bottom w:w="60" w:type="dxa"/>
              <w:right w:w="150" w:type="dxa"/>
            </w:tcMar>
            <w:vAlign w:val="center"/>
          </w:tcPr>
          <w:p w:rsidR="00B64724" w:rsidRDefault="00360063">
            <w:pPr>
              <w:spacing w:after="360" w:line="240" w:lineRule="auto"/>
              <w:rPr>
                <w:color w:val="222222"/>
                <w:sz w:val="24"/>
                <w:szCs w:val="24"/>
              </w:rPr>
            </w:pPr>
            <w:r>
              <w:rPr>
                <w:color w:val="222222"/>
                <w:sz w:val="24"/>
                <w:szCs w:val="24"/>
              </w:rPr>
              <w:t>Bazofil granulocita</w:t>
            </w:r>
          </w:p>
        </w:tc>
        <w:tc>
          <w:tcPr>
            <w:tcW w:w="1905" w:type="dxa"/>
            <w:shd w:val="clear" w:color="auto" w:fill="FFFFFF"/>
            <w:tcMar>
              <w:top w:w="60" w:type="dxa"/>
              <w:left w:w="75" w:type="dxa"/>
              <w:bottom w:w="60" w:type="dxa"/>
              <w:right w:w="150" w:type="dxa"/>
            </w:tcMar>
            <w:vAlign w:val="center"/>
          </w:tcPr>
          <w:p w:rsidR="00B64724" w:rsidRDefault="00360063">
            <w:pPr>
              <w:spacing w:after="360" w:line="240" w:lineRule="auto"/>
              <w:rPr>
                <w:color w:val="222222"/>
                <w:sz w:val="24"/>
                <w:szCs w:val="24"/>
              </w:rPr>
            </w:pPr>
            <w:r>
              <w:rPr>
                <w:color w:val="222222"/>
                <w:sz w:val="24"/>
                <w:szCs w:val="24"/>
              </w:rPr>
              <w:t>&lt;1</w:t>
            </w:r>
          </w:p>
        </w:tc>
        <w:tc>
          <w:tcPr>
            <w:tcW w:w="2505" w:type="dxa"/>
            <w:shd w:val="clear" w:color="auto" w:fill="FFFFFF"/>
            <w:tcMar>
              <w:top w:w="60" w:type="dxa"/>
              <w:left w:w="75" w:type="dxa"/>
              <w:bottom w:w="60" w:type="dxa"/>
              <w:right w:w="150" w:type="dxa"/>
            </w:tcMar>
            <w:vAlign w:val="center"/>
          </w:tcPr>
          <w:p w:rsidR="00B64724" w:rsidRDefault="00360063">
            <w:pPr>
              <w:spacing w:after="360" w:line="240" w:lineRule="auto"/>
              <w:rPr>
                <w:color w:val="222222"/>
                <w:sz w:val="24"/>
                <w:szCs w:val="24"/>
              </w:rPr>
            </w:pPr>
            <w:r>
              <w:rPr>
                <w:color w:val="222222"/>
                <w:sz w:val="24"/>
                <w:szCs w:val="24"/>
              </w:rPr>
              <w:t>20-110</w:t>
            </w:r>
          </w:p>
        </w:tc>
      </w:tr>
      <w:tr w:rsidR="00B64724">
        <w:trPr>
          <w:trHeight w:val="340"/>
        </w:trPr>
        <w:tc>
          <w:tcPr>
            <w:tcW w:w="4170" w:type="dxa"/>
            <w:shd w:val="clear" w:color="auto" w:fill="FFFFFF"/>
            <w:tcMar>
              <w:top w:w="60" w:type="dxa"/>
              <w:left w:w="75" w:type="dxa"/>
              <w:bottom w:w="60" w:type="dxa"/>
              <w:right w:w="150" w:type="dxa"/>
            </w:tcMar>
            <w:vAlign w:val="center"/>
          </w:tcPr>
          <w:p w:rsidR="00B64724" w:rsidRDefault="00360063">
            <w:pPr>
              <w:spacing w:after="360" w:line="240" w:lineRule="auto"/>
              <w:rPr>
                <w:color w:val="222222"/>
                <w:sz w:val="24"/>
                <w:szCs w:val="24"/>
              </w:rPr>
            </w:pPr>
            <w:r>
              <w:rPr>
                <w:color w:val="222222"/>
                <w:sz w:val="24"/>
                <w:szCs w:val="24"/>
              </w:rPr>
              <w:t>Limfocita</w:t>
            </w:r>
          </w:p>
        </w:tc>
        <w:tc>
          <w:tcPr>
            <w:tcW w:w="1905" w:type="dxa"/>
            <w:shd w:val="clear" w:color="auto" w:fill="FFFFFF"/>
            <w:tcMar>
              <w:top w:w="60" w:type="dxa"/>
              <w:left w:w="75" w:type="dxa"/>
              <w:bottom w:w="60" w:type="dxa"/>
              <w:right w:w="150" w:type="dxa"/>
            </w:tcMar>
            <w:vAlign w:val="center"/>
          </w:tcPr>
          <w:p w:rsidR="00B64724" w:rsidRDefault="00360063">
            <w:pPr>
              <w:spacing w:after="360" w:line="240" w:lineRule="auto"/>
              <w:rPr>
                <w:color w:val="222222"/>
                <w:sz w:val="24"/>
                <w:szCs w:val="24"/>
              </w:rPr>
            </w:pPr>
            <w:r>
              <w:rPr>
                <w:color w:val="222222"/>
                <w:sz w:val="24"/>
                <w:szCs w:val="24"/>
              </w:rPr>
              <w:t>20-30</w:t>
            </w:r>
          </w:p>
        </w:tc>
        <w:tc>
          <w:tcPr>
            <w:tcW w:w="2505" w:type="dxa"/>
            <w:shd w:val="clear" w:color="auto" w:fill="FFFFFF"/>
            <w:tcMar>
              <w:top w:w="60" w:type="dxa"/>
              <w:left w:w="75" w:type="dxa"/>
              <w:bottom w:w="60" w:type="dxa"/>
              <w:right w:w="150" w:type="dxa"/>
            </w:tcMar>
            <w:vAlign w:val="center"/>
          </w:tcPr>
          <w:p w:rsidR="00B64724" w:rsidRDefault="00360063">
            <w:pPr>
              <w:spacing w:after="360" w:line="240" w:lineRule="auto"/>
              <w:rPr>
                <w:color w:val="222222"/>
                <w:sz w:val="24"/>
                <w:szCs w:val="24"/>
                <w:vertAlign w:val="superscript"/>
              </w:rPr>
            </w:pPr>
            <w:r>
              <w:rPr>
                <w:color w:val="222222"/>
                <w:sz w:val="24"/>
                <w:szCs w:val="24"/>
              </w:rPr>
              <w:t>1,5-4 x 10</w:t>
            </w:r>
            <w:r>
              <w:rPr>
                <w:color w:val="222222"/>
                <w:sz w:val="24"/>
                <w:szCs w:val="24"/>
                <w:vertAlign w:val="superscript"/>
              </w:rPr>
              <w:t>3</w:t>
            </w:r>
          </w:p>
        </w:tc>
      </w:tr>
      <w:tr w:rsidR="00B64724">
        <w:trPr>
          <w:trHeight w:val="340"/>
        </w:trPr>
        <w:tc>
          <w:tcPr>
            <w:tcW w:w="4170" w:type="dxa"/>
            <w:shd w:val="clear" w:color="auto" w:fill="FFFFFF"/>
            <w:tcMar>
              <w:top w:w="60" w:type="dxa"/>
              <w:left w:w="75" w:type="dxa"/>
              <w:bottom w:w="60" w:type="dxa"/>
              <w:right w:w="150" w:type="dxa"/>
            </w:tcMar>
            <w:vAlign w:val="center"/>
          </w:tcPr>
          <w:p w:rsidR="00B64724" w:rsidRDefault="00360063">
            <w:pPr>
              <w:spacing w:after="360" w:line="240" w:lineRule="auto"/>
              <w:rPr>
                <w:color w:val="222222"/>
                <w:sz w:val="24"/>
                <w:szCs w:val="24"/>
              </w:rPr>
            </w:pPr>
            <w:r>
              <w:rPr>
                <w:color w:val="222222"/>
                <w:sz w:val="24"/>
                <w:szCs w:val="24"/>
              </w:rPr>
              <w:t>Monocita</w:t>
            </w:r>
          </w:p>
        </w:tc>
        <w:tc>
          <w:tcPr>
            <w:tcW w:w="1905" w:type="dxa"/>
            <w:shd w:val="clear" w:color="auto" w:fill="FFFFFF"/>
            <w:tcMar>
              <w:top w:w="60" w:type="dxa"/>
              <w:left w:w="75" w:type="dxa"/>
              <w:bottom w:w="60" w:type="dxa"/>
              <w:right w:w="150" w:type="dxa"/>
            </w:tcMar>
            <w:vAlign w:val="center"/>
          </w:tcPr>
          <w:p w:rsidR="00B64724" w:rsidRDefault="00360063">
            <w:pPr>
              <w:spacing w:after="360" w:line="240" w:lineRule="auto"/>
              <w:rPr>
                <w:color w:val="222222"/>
                <w:sz w:val="24"/>
                <w:szCs w:val="24"/>
              </w:rPr>
            </w:pPr>
            <w:r>
              <w:rPr>
                <w:color w:val="222222"/>
                <w:sz w:val="24"/>
                <w:szCs w:val="24"/>
              </w:rPr>
              <w:t>5-10</w:t>
            </w:r>
          </w:p>
        </w:tc>
        <w:tc>
          <w:tcPr>
            <w:tcW w:w="2505" w:type="dxa"/>
            <w:shd w:val="clear" w:color="auto" w:fill="FFFFFF"/>
            <w:tcMar>
              <w:top w:w="60" w:type="dxa"/>
              <w:left w:w="75" w:type="dxa"/>
              <w:bottom w:w="60" w:type="dxa"/>
              <w:right w:w="150" w:type="dxa"/>
            </w:tcMar>
            <w:vAlign w:val="center"/>
          </w:tcPr>
          <w:p w:rsidR="00B64724" w:rsidRDefault="00360063">
            <w:pPr>
              <w:spacing w:after="360" w:line="240" w:lineRule="auto"/>
              <w:rPr>
                <w:color w:val="222222"/>
                <w:sz w:val="24"/>
                <w:szCs w:val="24"/>
              </w:rPr>
            </w:pPr>
            <w:r>
              <w:rPr>
                <w:color w:val="222222"/>
                <w:sz w:val="24"/>
                <w:szCs w:val="24"/>
              </w:rPr>
              <w:t>160-720</w:t>
            </w:r>
          </w:p>
        </w:tc>
      </w:tr>
      <w:tr w:rsidR="00B64724">
        <w:trPr>
          <w:trHeight w:val="517"/>
        </w:trPr>
        <w:tc>
          <w:tcPr>
            <w:tcW w:w="4170" w:type="dxa"/>
            <w:shd w:val="clear" w:color="auto" w:fill="FFFFFF"/>
            <w:tcMar>
              <w:top w:w="60" w:type="dxa"/>
              <w:left w:w="75" w:type="dxa"/>
              <w:bottom w:w="60" w:type="dxa"/>
              <w:right w:w="150" w:type="dxa"/>
            </w:tcMar>
            <w:vAlign w:val="center"/>
          </w:tcPr>
          <w:p w:rsidR="00B64724" w:rsidRDefault="00360063">
            <w:pPr>
              <w:spacing w:after="360" w:line="240" w:lineRule="auto"/>
              <w:rPr>
                <w:color w:val="222222"/>
                <w:sz w:val="24"/>
                <w:szCs w:val="24"/>
              </w:rPr>
            </w:pPr>
            <w:r>
              <w:rPr>
                <w:color w:val="222222"/>
                <w:sz w:val="24"/>
                <w:szCs w:val="24"/>
              </w:rPr>
              <w:t>Dendritikus sejt</w:t>
            </w:r>
          </w:p>
        </w:tc>
        <w:tc>
          <w:tcPr>
            <w:tcW w:w="1905" w:type="dxa"/>
            <w:shd w:val="clear" w:color="auto" w:fill="FFFFFF"/>
            <w:tcMar>
              <w:top w:w="60" w:type="dxa"/>
              <w:left w:w="75" w:type="dxa"/>
              <w:bottom w:w="60" w:type="dxa"/>
              <w:right w:w="150" w:type="dxa"/>
            </w:tcMar>
            <w:vAlign w:val="center"/>
          </w:tcPr>
          <w:p w:rsidR="00B64724" w:rsidRDefault="00360063">
            <w:pPr>
              <w:spacing w:after="360" w:line="240" w:lineRule="auto"/>
              <w:rPr>
                <w:color w:val="222222"/>
                <w:sz w:val="24"/>
                <w:szCs w:val="24"/>
              </w:rPr>
            </w:pPr>
            <w:r>
              <w:rPr>
                <w:color w:val="222222"/>
                <w:sz w:val="24"/>
                <w:szCs w:val="24"/>
              </w:rPr>
              <w:t>1</w:t>
            </w:r>
          </w:p>
        </w:tc>
        <w:tc>
          <w:tcPr>
            <w:tcW w:w="2505" w:type="dxa"/>
            <w:shd w:val="clear" w:color="auto" w:fill="FFFFFF"/>
            <w:tcMar>
              <w:top w:w="60" w:type="dxa"/>
              <w:left w:w="75" w:type="dxa"/>
              <w:bottom w:w="60" w:type="dxa"/>
              <w:right w:w="150" w:type="dxa"/>
            </w:tcMar>
            <w:vAlign w:val="center"/>
          </w:tcPr>
          <w:p w:rsidR="00B64724" w:rsidRDefault="00360063">
            <w:pPr>
              <w:spacing w:after="360" w:line="240" w:lineRule="auto"/>
              <w:rPr>
                <w:color w:val="222222"/>
                <w:sz w:val="24"/>
                <w:szCs w:val="24"/>
              </w:rPr>
            </w:pPr>
            <w:r>
              <w:rPr>
                <w:color w:val="222222"/>
                <w:sz w:val="24"/>
                <w:szCs w:val="24"/>
              </w:rPr>
              <w:t>60</w:t>
            </w:r>
          </w:p>
        </w:tc>
      </w:tr>
      <w:tr w:rsidR="00B64724">
        <w:trPr>
          <w:trHeight w:val="517"/>
        </w:trPr>
        <w:tc>
          <w:tcPr>
            <w:tcW w:w="4170" w:type="dxa"/>
            <w:shd w:val="clear" w:color="auto" w:fill="FFFFFF"/>
            <w:tcMar>
              <w:top w:w="60" w:type="dxa"/>
              <w:left w:w="75" w:type="dxa"/>
              <w:bottom w:w="60" w:type="dxa"/>
              <w:right w:w="150" w:type="dxa"/>
            </w:tcMar>
            <w:vAlign w:val="center"/>
          </w:tcPr>
          <w:p w:rsidR="00B64724" w:rsidRDefault="00360063">
            <w:pPr>
              <w:spacing w:after="360" w:line="240" w:lineRule="auto"/>
              <w:rPr>
                <w:color w:val="222222"/>
                <w:sz w:val="24"/>
                <w:szCs w:val="24"/>
              </w:rPr>
            </w:pPr>
            <w:r>
              <w:rPr>
                <w:color w:val="222222"/>
                <w:sz w:val="24"/>
                <w:szCs w:val="24"/>
              </w:rPr>
              <w:t>NK</w:t>
            </w:r>
          </w:p>
        </w:tc>
        <w:tc>
          <w:tcPr>
            <w:tcW w:w="1905" w:type="dxa"/>
            <w:shd w:val="clear" w:color="auto" w:fill="FFFFFF"/>
            <w:tcMar>
              <w:top w:w="60" w:type="dxa"/>
              <w:left w:w="75" w:type="dxa"/>
              <w:bottom w:w="60" w:type="dxa"/>
              <w:right w:w="150" w:type="dxa"/>
            </w:tcMar>
            <w:vAlign w:val="center"/>
          </w:tcPr>
          <w:p w:rsidR="00B64724" w:rsidRDefault="00360063">
            <w:pPr>
              <w:spacing w:after="360" w:line="240" w:lineRule="auto"/>
              <w:rPr>
                <w:color w:val="222222"/>
                <w:sz w:val="24"/>
                <w:szCs w:val="24"/>
              </w:rPr>
            </w:pPr>
            <w:r>
              <w:rPr>
                <w:color w:val="222222"/>
                <w:sz w:val="24"/>
                <w:szCs w:val="24"/>
              </w:rPr>
              <w:t>10</w:t>
            </w:r>
          </w:p>
        </w:tc>
        <w:tc>
          <w:tcPr>
            <w:tcW w:w="2505" w:type="dxa"/>
            <w:shd w:val="clear" w:color="auto" w:fill="FFFFFF"/>
            <w:tcMar>
              <w:top w:w="60" w:type="dxa"/>
              <w:left w:w="75" w:type="dxa"/>
              <w:bottom w:w="60" w:type="dxa"/>
              <w:right w:w="150" w:type="dxa"/>
            </w:tcMar>
            <w:vAlign w:val="center"/>
          </w:tcPr>
          <w:p w:rsidR="00B64724" w:rsidRDefault="00360063">
            <w:pPr>
              <w:spacing w:after="360" w:line="240" w:lineRule="auto"/>
              <w:rPr>
                <w:color w:val="222222"/>
                <w:sz w:val="24"/>
                <w:szCs w:val="24"/>
              </w:rPr>
            </w:pPr>
            <w:r>
              <w:rPr>
                <w:color w:val="222222"/>
                <w:sz w:val="24"/>
                <w:szCs w:val="24"/>
              </w:rPr>
              <w:t>200-400</w:t>
            </w:r>
          </w:p>
        </w:tc>
      </w:tr>
      <w:tr w:rsidR="00B64724">
        <w:trPr>
          <w:trHeight w:val="611"/>
        </w:trPr>
        <w:tc>
          <w:tcPr>
            <w:tcW w:w="4170" w:type="dxa"/>
            <w:shd w:val="clear" w:color="auto" w:fill="FFFFFF"/>
            <w:tcMar>
              <w:top w:w="60" w:type="dxa"/>
              <w:left w:w="75" w:type="dxa"/>
              <w:bottom w:w="60" w:type="dxa"/>
              <w:right w:w="150" w:type="dxa"/>
            </w:tcMar>
            <w:vAlign w:val="center"/>
          </w:tcPr>
          <w:p w:rsidR="00B64724" w:rsidRDefault="00360063">
            <w:pPr>
              <w:spacing w:after="0" w:line="240" w:lineRule="auto"/>
              <w:rPr>
                <w:color w:val="222222"/>
                <w:sz w:val="24"/>
                <w:szCs w:val="24"/>
              </w:rPr>
            </w:pPr>
            <w:r>
              <w:rPr>
                <w:b/>
                <w:color w:val="222222"/>
                <w:sz w:val="24"/>
                <w:szCs w:val="24"/>
              </w:rPr>
              <w:t>Vörösvérsejtek</w:t>
            </w:r>
            <w:r>
              <w:rPr>
                <w:color w:val="222222"/>
                <w:sz w:val="24"/>
                <w:szCs w:val="24"/>
              </w:rPr>
              <w:t> </w:t>
            </w:r>
            <w:r>
              <w:rPr>
                <w:i/>
                <w:color w:val="222222"/>
                <w:sz w:val="24"/>
                <w:szCs w:val="24"/>
              </w:rPr>
              <w:t>(eritrociták)</w:t>
            </w:r>
          </w:p>
        </w:tc>
        <w:tc>
          <w:tcPr>
            <w:tcW w:w="1905" w:type="dxa"/>
            <w:shd w:val="clear" w:color="auto" w:fill="FFFFFF"/>
            <w:tcMar>
              <w:top w:w="60" w:type="dxa"/>
              <w:left w:w="75" w:type="dxa"/>
              <w:bottom w:w="60" w:type="dxa"/>
              <w:right w:w="150" w:type="dxa"/>
            </w:tcMar>
            <w:vAlign w:val="center"/>
          </w:tcPr>
          <w:p w:rsidR="00B64724" w:rsidRDefault="00B64724">
            <w:pPr>
              <w:spacing w:after="0" w:line="240" w:lineRule="auto"/>
              <w:rPr>
                <w:color w:val="222222"/>
                <w:sz w:val="24"/>
                <w:szCs w:val="24"/>
              </w:rPr>
            </w:pPr>
          </w:p>
        </w:tc>
        <w:tc>
          <w:tcPr>
            <w:tcW w:w="2505" w:type="dxa"/>
            <w:shd w:val="clear" w:color="auto" w:fill="FFFFFF"/>
            <w:tcMar>
              <w:top w:w="60" w:type="dxa"/>
              <w:left w:w="75" w:type="dxa"/>
              <w:bottom w:w="60" w:type="dxa"/>
              <w:right w:w="150" w:type="dxa"/>
            </w:tcMar>
            <w:vAlign w:val="center"/>
          </w:tcPr>
          <w:p w:rsidR="00B64724" w:rsidRDefault="00360063">
            <w:pPr>
              <w:spacing w:after="360" w:line="240" w:lineRule="auto"/>
              <w:rPr>
                <w:color w:val="222222"/>
                <w:sz w:val="24"/>
                <w:szCs w:val="24"/>
              </w:rPr>
            </w:pPr>
            <w:r>
              <w:rPr>
                <w:color w:val="222222"/>
                <w:sz w:val="24"/>
                <w:szCs w:val="24"/>
              </w:rPr>
              <w:t>3,9-5,7 x 10</w:t>
            </w:r>
            <w:r>
              <w:rPr>
                <w:color w:val="222222"/>
                <w:sz w:val="24"/>
                <w:szCs w:val="24"/>
                <w:vertAlign w:val="superscript"/>
              </w:rPr>
              <w:t>6</w:t>
            </w:r>
          </w:p>
        </w:tc>
      </w:tr>
      <w:tr w:rsidR="00B64724">
        <w:trPr>
          <w:trHeight w:val="256"/>
        </w:trPr>
        <w:tc>
          <w:tcPr>
            <w:tcW w:w="4170" w:type="dxa"/>
            <w:shd w:val="clear" w:color="auto" w:fill="FFFFFF"/>
            <w:tcMar>
              <w:top w:w="60" w:type="dxa"/>
              <w:left w:w="75" w:type="dxa"/>
              <w:bottom w:w="60" w:type="dxa"/>
              <w:right w:w="150" w:type="dxa"/>
            </w:tcMar>
            <w:vAlign w:val="center"/>
          </w:tcPr>
          <w:p w:rsidR="00B64724" w:rsidRDefault="00360063">
            <w:pPr>
              <w:spacing w:after="0" w:line="240" w:lineRule="auto"/>
              <w:rPr>
                <w:color w:val="222222"/>
                <w:sz w:val="24"/>
                <w:szCs w:val="24"/>
              </w:rPr>
            </w:pPr>
            <w:r>
              <w:rPr>
                <w:b/>
                <w:color w:val="222222"/>
                <w:sz w:val="24"/>
                <w:szCs w:val="24"/>
              </w:rPr>
              <w:t>Vérlemezkék</w:t>
            </w:r>
            <w:r>
              <w:rPr>
                <w:color w:val="222222"/>
                <w:sz w:val="24"/>
                <w:szCs w:val="24"/>
              </w:rPr>
              <w:t> </w:t>
            </w:r>
            <w:r>
              <w:rPr>
                <w:i/>
                <w:color w:val="222222"/>
                <w:sz w:val="24"/>
                <w:szCs w:val="24"/>
              </w:rPr>
              <w:t>(trombociták)</w:t>
            </w:r>
          </w:p>
        </w:tc>
        <w:tc>
          <w:tcPr>
            <w:tcW w:w="1905" w:type="dxa"/>
            <w:shd w:val="clear" w:color="auto" w:fill="FFFFFF"/>
            <w:tcMar>
              <w:top w:w="60" w:type="dxa"/>
              <w:left w:w="75" w:type="dxa"/>
              <w:bottom w:w="60" w:type="dxa"/>
              <w:right w:w="150" w:type="dxa"/>
            </w:tcMar>
            <w:vAlign w:val="center"/>
          </w:tcPr>
          <w:p w:rsidR="00B64724" w:rsidRDefault="00B64724">
            <w:pPr>
              <w:spacing w:after="0" w:line="240" w:lineRule="auto"/>
              <w:rPr>
                <w:color w:val="222222"/>
                <w:sz w:val="24"/>
                <w:szCs w:val="24"/>
              </w:rPr>
            </w:pPr>
          </w:p>
        </w:tc>
        <w:tc>
          <w:tcPr>
            <w:tcW w:w="2505" w:type="dxa"/>
            <w:shd w:val="clear" w:color="auto" w:fill="FFFFFF"/>
            <w:tcMar>
              <w:top w:w="60" w:type="dxa"/>
              <w:left w:w="75" w:type="dxa"/>
              <w:bottom w:w="60" w:type="dxa"/>
              <w:right w:w="150" w:type="dxa"/>
            </w:tcMar>
            <w:vAlign w:val="center"/>
          </w:tcPr>
          <w:p w:rsidR="00B64724" w:rsidRDefault="00360063">
            <w:pPr>
              <w:spacing w:after="360" w:line="240" w:lineRule="auto"/>
              <w:rPr>
                <w:color w:val="222222"/>
                <w:sz w:val="24"/>
                <w:szCs w:val="24"/>
                <w:vertAlign w:val="superscript"/>
              </w:rPr>
            </w:pPr>
            <w:r>
              <w:rPr>
                <w:color w:val="222222"/>
                <w:sz w:val="24"/>
                <w:szCs w:val="24"/>
              </w:rPr>
              <w:t>1,4-3,5 x 10</w:t>
            </w:r>
            <w:r>
              <w:rPr>
                <w:color w:val="222222"/>
                <w:sz w:val="24"/>
                <w:szCs w:val="24"/>
                <w:vertAlign w:val="superscript"/>
              </w:rPr>
              <w:t>5</w:t>
            </w:r>
          </w:p>
        </w:tc>
      </w:tr>
    </w:tbl>
    <w:p w:rsidR="00B64724" w:rsidRDefault="00B64724">
      <w:pPr>
        <w:spacing w:before="120" w:after="0" w:line="240" w:lineRule="auto"/>
        <w:jc w:val="both"/>
        <w:rPr>
          <w:sz w:val="24"/>
          <w:szCs w:val="24"/>
        </w:rPr>
      </w:pPr>
    </w:p>
    <w:p w:rsidR="00B64724" w:rsidRDefault="00B64724">
      <w:pPr>
        <w:spacing w:before="120" w:after="0" w:line="240" w:lineRule="auto"/>
        <w:jc w:val="both"/>
        <w:rPr>
          <w:b/>
          <w:sz w:val="24"/>
          <w:szCs w:val="24"/>
          <w:u w:val="single"/>
        </w:rPr>
      </w:pPr>
    </w:p>
    <w:p w:rsidR="00B64724" w:rsidRDefault="00360063">
      <w:pPr>
        <w:spacing w:before="120" w:after="0" w:line="240" w:lineRule="auto"/>
        <w:jc w:val="both"/>
        <w:rPr>
          <w:sz w:val="24"/>
          <w:szCs w:val="24"/>
        </w:rPr>
      </w:pPr>
      <w:r>
        <w:rPr>
          <w:b/>
          <w:sz w:val="24"/>
          <w:szCs w:val="24"/>
          <w:u w:val="single"/>
        </w:rPr>
        <w:lastRenderedPageBreak/>
        <w:t>2. előadás:</w:t>
      </w:r>
      <w:r>
        <w:rPr>
          <w:sz w:val="24"/>
          <w:szCs w:val="24"/>
        </w:rPr>
        <w:t xml:space="preserve"> </w:t>
      </w:r>
      <w:r>
        <w:rPr>
          <w:b/>
          <w:sz w:val="24"/>
          <w:szCs w:val="24"/>
        </w:rPr>
        <w:t>A természetes immunitás jellegzetességei. A természetes immunitás kapcsolata a szerzett immunitással</w:t>
      </w:r>
    </w:p>
    <w:p w:rsidR="00B64724" w:rsidRDefault="00360063">
      <w:pPr>
        <w:spacing w:before="120" w:after="0" w:line="240" w:lineRule="auto"/>
        <w:jc w:val="both"/>
        <w:rPr>
          <w:sz w:val="24"/>
          <w:szCs w:val="24"/>
        </w:rPr>
      </w:pPr>
      <w:r>
        <w:rPr>
          <w:sz w:val="24"/>
          <w:szCs w:val="24"/>
        </w:rPr>
        <w:t xml:space="preserve">Definiálja a természetes immunitás fogalmát, sorolja fel össze fő jellegzetességeit, funkcióit. </w:t>
      </w:r>
    </w:p>
    <w:p w:rsidR="00B64724" w:rsidRDefault="00360063">
      <w:pPr>
        <w:spacing w:before="120" w:after="0" w:line="240" w:lineRule="auto"/>
        <w:jc w:val="both"/>
        <w:rPr>
          <w:sz w:val="24"/>
          <w:szCs w:val="24"/>
        </w:rPr>
      </w:pPr>
      <w:bookmarkStart w:id="1" w:name="_heading=h.gjdgxs" w:colFirst="0" w:colLast="0"/>
      <w:bookmarkEnd w:id="1"/>
      <w:r>
        <w:rPr>
          <w:sz w:val="24"/>
          <w:szCs w:val="24"/>
        </w:rPr>
        <w:t>Sorolja fel a természetes immunitás sejtes elemeit, vázolja fel fejlődésüket a csontvelői vérképző őssejtekből. Mutassa be a monocita/makrofágok fő tulajdonságait, sorolja fel fő típusaikat szöveti elhelyezkedésük alapján, részletezze feladataikat. Ismerte</w:t>
      </w:r>
      <w:r>
        <w:rPr>
          <w:sz w:val="24"/>
          <w:szCs w:val="24"/>
        </w:rPr>
        <w:t>sse a dendritikus sejtek eredetét, fő típusait, feladatait. Jellemezze a neutrofil granulocitákat, magyarázza el extravazációjukat, feladataikat. Röviden ismertesse a bazofil és eozinofil granulociták, valamint a hízósejtek alapvető jellegzetességeit. Muta</w:t>
      </w:r>
      <w:r>
        <w:rPr>
          <w:sz w:val="24"/>
          <w:szCs w:val="24"/>
        </w:rPr>
        <w:t xml:space="preserve">ssa be a természetes ölősejteket (NK sejtek), emelje ki a többi limfocitától eltérő tulajdonságait. </w:t>
      </w:r>
    </w:p>
    <w:p w:rsidR="00B64724" w:rsidRDefault="00360063">
      <w:pPr>
        <w:spacing w:before="120" w:after="0" w:line="240" w:lineRule="auto"/>
        <w:jc w:val="both"/>
        <w:rPr>
          <w:sz w:val="24"/>
          <w:szCs w:val="24"/>
        </w:rPr>
      </w:pPr>
      <w:r>
        <w:rPr>
          <w:sz w:val="24"/>
          <w:szCs w:val="24"/>
        </w:rPr>
        <w:t>Sorolja fel a természetes immunitás humorális elemeit. Csoportosítsa a citokineket eredetük és funkcióik alapján, soroljon néhány példát minden csoporthoz.</w:t>
      </w:r>
      <w:r>
        <w:rPr>
          <w:sz w:val="24"/>
          <w:szCs w:val="24"/>
        </w:rPr>
        <w:t xml:space="preserve"> Definiálja az alábbi fogalmakat: autokrin, parakrin, endokrin, pleiotróp, redundáns szinergista, antagonista. Emelje ki a komplementrendszer fontosságát, sorolja fel funkcióit, mutassa be aktiválódásnak fő lépéseit röviden. </w:t>
      </w:r>
    </w:p>
    <w:p w:rsidR="00B64724" w:rsidRDefault="00360063">
      <w:pPr>
        <w:spacing w:before="120" w:after="0" w:line="240" w:lineRule="auto"/>
        <w:jc w:val="both"/>
        <w:rPr>
          <w:sz w:val="24"/>
          <w:szCs w:val="24"/>
        </w:rPr>
      </w:pPr>
      <w:r>
        <w:rPr>
          <w:sz w:val="24"/>
          <w:szCs w:val="24"/>
        </w:rPr>
        <w:t>Hasonlítsa össze a természetes</w:t>
      </w:r>
      <w:r>
        <w:rPr>
          <w:sz w:val="24"/>
          <w:szCs w:val="24"/>
        </w:rPr>
        <w:t xml:space="preserve"> és a szerzett immunválaszt a következő szempontok alapján: antigénfelismerés módja, receptorai, az antigénre adott válasz időkinetikája, az adott antigénre adott második válasz lefolyása. Magyarázza el a természetes és szerzett immunitás elemeinek kapcsol</w:t>
      </w:r>
      <w:r>
        <w:rPr>
          <w:sz w:val="24"/>
          <w:szCs w:val="24"/>
        </w:rPr>
        <w:t xml:space="preserve">atát, sejtjeinek kommunikációját, funkcióik egymásra utaltságát. </w:t>
      </w:r>
    </w:p>
    <w:p w:rsidR="00B64724" w:rsidRDefault="00B64724">
      <w:pPr>
        <w:spacing w:before="120" w:after="0" w:line="240" w:lineRule="auto"/>
        <w:jc w:val="both"/>
        <w:rPr>
          <w:sz w:val="24"/>
          <w:szCs w:val="24"/>
        </w:rPr>
      </w:pPr>
    </w:p>
    <w:p w:rsidR="00B64724" w:rsidRDefault="00360063">
      <w:pPr>
        <w:spacing w:line="240" w:lineRule="auto"/>
        <w:jc w:val="both"/>
        <w:rPr>
          <w:b/>
          <w:sz w:val="24"/>
          <w:szCs w:val="24"/>
        </w:rPr>
      </w:pPr>
      <w:r>
        <w:rPr>
          <w:b/>
          <w:sz w:val="24"/>
          <w:szCs w:val="24"/>
          <w:u w:val="single"/>
        </w:rPr>
        <w:t>3. előadás:</w:t>
      </w:r>
      <w:r>
        <w:rPr>
          <w:b/>
          <w:sz w:val="24"/>
          <w:szCs w:val="24"/>
        </w:rPr>
        <w:t xml:space="preserve"> MHC szerkezete, polimorfizmusa. Antigén prezentáció. T és B sejtek fejlődése. </w:t>
      </w:r>
    </w:p>
    <w:p w:rsidR="00B64724" w:rsidRDefault="00360063">
      <w:pPr>
        <w:spacing w:line="240" w:lineRule="auto"/>
        <w:jc w:val="both"/>
        <w:rPr>
          <w:sz w:val="24"/>
          <w:szCs w:val="24"/>
        </w:rPr>
      </w:pPr>
      <w:r>
        <w:rPr>
          <w:sz w:val="24"/>
          <w:szCs w:val="24"/>
        </w:rPr>
        <w:t>Hasonlítsa össze az MHC génrégióban kódolt két fő fehérje, az MHCI és MHCII szerkezetét és a preze</w:t>
      </w:r>
      <w:r>
        <w:rPr>
          <w:sz w:val="24"/>
          <w:szCs w:val="24"/>
        </w:rPr>
        <w:t>ntálandó peptiddel történő kapcsolódását. Írja le az MHCI-hez és az MHCII-höz kapcsolódó peptid feldolgozás főbb celluláris és molekuláris lépéseit. Sorolja fel az MHC-peptidkötés szabályait. Ismerje az MHC I-en, illetve az MHCII-n keresztüli antigén preze</w:t>
      </w:r>
      <w:r>
        <w:rPr>
          <w:sz w:val="24"/>
          <w:szCs w:val="24"/>
        </w:rPr>
        <w:t>ntáció szerepét az immunrendszer működése szempontjából. Mutassa be egy-egy példán keresztül az intracelluláris és extracelluláris antigének prezentációját és annak kimenetelét a T-sejt válasz tekintetében. Ismerje az MHC molekulák változatosságának geneti</w:t>
      </w:r>
      <w:r>
        <w:rPr>
          <w:sz w:val="24"/>
          <w:szCs w:val="24"/>
        </w:rPr>
        <w:t>kai okait: poligénes kódolás, polimorfizmus, haplotípusok kodomináns öröklődés. Magyarázza el az MHC génkomplex polimorfizmusának jelentőségét az egyed és a populáció szintjén. Vázolja az MHC polimorfizmus klinikai következményeit.</w:t>
      </w:r>
    </w:p>
    <w:p w:rsidR="00B64724" w:rsidRDefault="00360063">
      <w:pPr>
        <w:spacing w:line="240" w:lineRule="auto"/>
        <w:jc w:val="both"/>
        <w:rPr>
          <w:sz w:val="24"/>
          <w:szCs w:val="24"/>
        </w:rPr>
      </w:pPr>
      <w:r>
        <w:rPr>
          <w:sz w:val="24"/>
          <w:szCs w:val="24"/>
        </w:rPr>
        <w:t>Vázolja fel a B-és T-lim</w:t>
      </w:r>
      <w:r>
        <w:rPr>
          <w:sz w:val="24"/>
          <w:szCs w:val="24"/>
        </w:rPr>
        <w:t xml:space="preserve">fociták érésének közös pontjait. Ismerje az immunglobulin szupercsaládra jellemző génrekombinációs folyamat lépéseit. Vázlatosan írja le V/D/J rekombináció sorrendjét és a résztvevő enzimeket a T-sejt receptor, illetve a B-sejt receptor esetén. Ismertesse </w:t>
      </w:r>
      <w:r>
        <w:rPr>
          <w:sz w:val="24"/>
          <w:szCs w:val="24"/>
        </w:rPr>
        <w:t xml:space="preserve">a limfocita érési folyamat ellenőrzési pontjait és adja meg a lehetséges kimeneteleket. Ismertesse a B sejt centrális tolerancia mechanizmusát. </w:t>
      </w:r>
    </w:p>
    <w:p w:rsidR="00B64724" w:rsidRDefault="00B64724">
      <w:pPr>
        <w:spacing w:line="240" w:lineRule="auto"/>
        <w:jc w:val="both"/>
        <w:rPr>
          <w:sz w:val="24"/>
          <w:szCs w:val="24"/>
        </w:rPr>
      </w:pPr>
    </w:p>
    <w:p w:rsidR="00B64724" w:rsidRDefault="00360063">
      <w:pPr>
        <w:spacing w:before="120" w:after="0" w:line="240" w:lineRule="auto"/>
        <w:jc w:val="both"/>
        <w:rPr>
          <w:b/>
          <w:sz w:val="24"/>
          <w:szCs w:val="24"/>
        </w:rPr>
      </w:pPr>
      <w:r>
        <w:rPr>
          <w:b/>
          <w:sz w:val="24"/>
          <w:szCs w:val="24"/>
          <w:u w:val="single"/>
        </w:rPr>
        <w:t xml:space="preserve">4. előadás: </w:t>
      </w:r>
      <w:r>
        <w:rPr>
          <w:b/>
          <w:sz w:val="24"/>
          <w:szCs w:val="24"/>
        </w:rPr>
        <w:t>A T limfociták antigén felismerő működése. A T sejt közvetített immunválasz. A T sejtek típusai, e</w:t>
      </w:r>
      <w:r>
        <w:rPr>
          <w:b/>
          <w:sz w:val="24"/>
          <w:szCs w:val="24"/>
        </w:rPr>
        <w:t>ffektor funkciói.</w:t>
      </w:r>
    </w:p>
    <w:p w:rsidR="00B64724" w:rsidRDefault="00360063">
      <w:pPr>
        <w:spacing w:before="120" w:after="0" w:line="240" w:lineRule="auto"/>
        <w:jc w:val="both"/>
        <w:rPr>
          <w:sz w:val="24"/>
          <w:szCs w:val="24"/>
        </w:rPr>
      </w:pPr>
      <w:r>
        <w:rPr>
          <w:sz w:val="24"/>
          <w:szCs w:val="24"/>
        </w:rPr>
        <w:t>Jellemezze a T-sejt antigén felismerését, definiálja az MHC korlátozást. Ismerje a TCR komplex szerkezetét, magyarázza el a TCR, a CD3, CD4/CD8 ko-receptorok szerepét a T-sejt jelátviteli folyamatában. Nevezzen meg három jelátviteli utat,</w:t>
      </w:r>
      <w:r>
        <w:rPr>
          <w:sz w:val="24"/>
          <w:szCs w:val="24"/>
        </w:rPr>
        <w:t xml:space="preserve"> amely az antigén felismerés hatására </w:t>
      </w:r>
      <w:r>
        <w:rPr>
          <w:sz w:val="24"/>
          <w:szCs w:val="24"/>
        </w:rPr>
        <w:lastRenderedPageBreak/>
        <w:t>aktiválódik.  Sorolja fel a fertőzést követő T-sejt aktivációs folyamatok lépéseit és adja meg azok helyét és kinetikáját is. Ismertesse az APC kostimuláció jelentőségét és a hiányában kialakuló T-sejt választ. Nevezze</w:t>
      </w:r>
      <w:r>
        <w:rPr>
          <w:sz w:val="24"/>
          <w:szCs w:val="24"/>
        </w:rPr>
        <w:t>n meg két kostimulációs mechanizmust a naiv T-sejtek aktivációjában. Definiálja az immunszinapszist. Mutassa be az IL2 szerepét a T-sejt aktivációban. Jellemezze az effektor T-sejtek fő- és altípusait. Ismertesse az immunválaszban a citotoxikus T-sejtek ak</w:t>
      </w:r>
      <w:r>
        <w:rPr>
          <w:sz w:val="24"/>
          <w:szCs w:val="24"/>
        </w:rPr>
        <w:t>tivációját és hatásmechanizmusát. Soroljon fel 4 effektor helper T sejt alcsoportot és magyarázza meg mit jelent a differenciációjuk során a polarizáció. Vázlatosan ismertesse ezen alcsoportok szerepét az immunválasz során, nevezze meg milyen effektor sejt</w:t>
      </w:r>
      <w:r>
        <w:rPr>
          <w:sz w:val="24"/>
          <w:szCs w:val="24"/>
        </w:rPr>
        <w:t xml:space="preserve">eket aktiválnak. Adjon meg egy-egy Th altípusra jellemző egy-két citokint. Hasonlítsa össze a kétféle regulátoros T sejt csoportot (tTreg és pTreg) kialakulásuk és funkciójuk szerint. </w:t>
      </w:r>
    </w:p>
    <w:p w:rsidR="00B64724" w:rsidRDefault="00B64724">
      <w:pPr>
        <w:spacing w:line="240" w:lineRule="auto"/>
        <w:jc w:val="both"/>
        <w:rPr>
          <w:sz w:val="24"/>
          <w:szCs w:val="24"/>
        </w:rPr>
      </w:pPr>
    </w:p>
    <w:p w:rsidR="00B64724" w:rsidRDefault="00360063">
      <w:pPr>
        <w:spacing w:before="120" w:after="0" w:line="240" w:lineRule="auto"/>
        <w:jc w:val="both"/>
        <w:rPr>
          <w:b/>
          <w:sz w:val="24"/>
          <w:szCs w:val="24"/>
        </w:rPr>
      </w:pPr>
      <w:r>
        <w:rPr>
          <w:b/>
          <w:sz w:val="24"/>
          <w:szCs w:val="24"/>
          <w:u w:val="single"/>
        </w:rPr>
        <w:t xml:space="preserve">5. előadás: </w:t>
      </w:r>
      <w:r>
        <w:rPr>
          <w:b/>
          <w:sz w:val="24"/>
          <w:szCs w:val="24"/>
        </w:rPr>
        <w:t>B-limfociták. B sejt aktiváció, a B sejtek antigéntől függő differenciációja. Az ellenanyagok szerkezete, az ellenanyagok közvetítette effektor funkciók.</w:t>
      </w:r>
    </w:p>
    <w:p w:rsidR="00B64724" w:rsidRDefault="00360063">
      <w:pPr>
        <w:spacing w:before="120" w:after="0" w:line="240" w:lineRule="auto"/>
        <w:jc w:val="both"/>
        <w:rPr>
          <w:sz w:val="24"/>
          <w:szCs w:val="24"/>
        </w:rPr>
      </w:pPr>
      <w:r>
        <w:rPr>
          <w:sz w:val="24"/>
          <w:szCs w:val="24"/>
        </w:rPr>
        <w:t>Ismertesse a B limfociták altípusait, mutassa be az egyes altípusok főbb jellemzőit! Jellemezze a B li</w:t>
      </w:r>
      <w:r>
        <w:rPr>
          <w:sz w:val="24"/>
          <w:szCs w:val="24"/>
        </w:rPr>
        <w:t>mfociták pozitív szelekciójának folyamatát! Mutassa be az érett B limfociták circulációját a vérkeringés - másodlagos nyirokszervek/szövetek – nyirokkeringés között! Ismertesse, hogy milyen feltételek teljesülése esetén történhet meg a B limfociták aktivác</w:t>
      </w:r>
      <w:r>
        <w:rPr>
          <w:sz w:val="24"/>
          <w:szCs w:val="24"/>
        </w:rPr>
        <w:t xml:space="preserve">iója a T sejtek közreműködése nélkül! Mutassa be, hogy hol történik a B limfociták antigén felismerése! Jellemezze a follikuláris dendritikus sejteket! Ismertesse a B-sejt receptorok és a B-sejt koreceptor szerepét a B limfocita aktivációjában! Mutassa be </w:t>
      </w:r>
      <w:r>
        <w:rPr>
          <w:sz w:val="24"/>
          <w:szCs w:val="24"/>
        </w:rPr>
        <w:t>az antigénnel már találkozott B limfociták és a follikuláris helper T sejtek (T</w:t>
      </w:r>
      <w:r>
        <w:rPr>
          <w:sz w:val="24"/>
          <w:szCs w:val="24"/>
          <w:vertAlign w:val="subscript"/>
        </w:rPr>
        <w:t>FH</w:t>
      </w:r>
      <w:r>
        <w:rPr>
          <w:sz w:val="24"/>
          <w:szCs w:val="24"/>
        </w:rPr>
        <w:t xml:space="preserve"> ) kölcsönhatásának lehetséges következményeit! Sorolja fel a centrum germinatívumban zajló legfontosabb folyamatokat! Hasonlítsa össze a rövid és a hosszú életidejű plazmasej</w:t>
      </w:r>
      <w:r>
        <w:rPr>
          <w:sz w:val="24"/>
          <w:szCs w:val="24"/>
        </w:rPr>
        <w:t>teket! Hasonlítsa össze a B-sejt receptorok és az ellenanyagok szerkezetét! Ismertesse az affinitásérés mechanizmusát!</w:t>
      </w:r>
    </w:p>
    <w:p w:rsidR="00B64724" w:rsidRDefault="00360063">
      <w:pPr>
        <w:spacing w:before="120" w:after="0" w:line="240" w:lineRule="auto"/>
        <w:jc w:val="both"/>
        <w:rPr>
          <w:sz w:val="24"/>
          <w:szCs w:val="24"/>
          <w:highlight w:val="yellow"/>
        </w:rPr>
      </w:pPr>
      <w:r>
        <w:rPr>
          <w:sz w:val="24"/>
          <w:szCs w:val="24"/>
        </w:rPr>
        <w:t>Mutassa be az izotípusváltás molekuláris mechanizmusát! Hasonlítsa össze az izotípusváltás és a szomatikus génátrendeződés folyamatát! Is</w:t>
      </w:r>
      <w:r>
        <w:rPr>
          <w:sz w:val="24"/>
          <w:szCs w:val="24"/>
        </w:rPr>
        <w:t xml:space="preserve">mertesse az ellenanyagok effektor funkcióit! Jellemezze a különböző izotípusú humán ellenanyagokat! Hasonlítsa össze a naív és a memória B sejteket! Ismertesse, hogy hogyan képes a már megtermelt ellenanyag gátolni az ugyanazt az antigént felismerni képes </w:t>
      </w:r>
      <w:r>
        <w:rPr>
          <w:sz w:val="24"/>
          <w:szCs w:val="24"/>
        </w:rPr>
        <w:t>naív B limfocita aktivációját! Mutassa be ezt a mechanizmust egy klinikai példán keresztül!</w:t>
      </w:r>
    </w:p>
    <w:p w:rsidR="00B64724" w:rsidRDefault="00B64724">
      <w:pPr>
        <w:spacing w:before="120" w:after="0" w:line="240" w:lineRule="auto"/>
        <w:jc w:val="both"/>
        <w:rPr>
          <w:sz w:val="24"/>
          <w:szCs w:val="24"/>
        </w:rPr>
      </w:pPr>
    </w:p>
    <w:p w:rsidR="00B64724" w:rsidRDefault="00360063">
      <w:pPr>
        <w:spacing w:before="120" w:after="0" w:line="240" w:lineRule="auto"/>
        <w:jc w:val="both"/>
        <w:rPr>
          <w:b/>
          <w:sz w:val="24"/>
          <w:szCs w:val="24"/>
        </w:rPr>
      </w:pPr>
      <w:r>
        <w:rPr>
          <w:b/>
          <w:sz w:val="24"/>
          <w:szCs w:val="24"/>
          <w:u w:val="single"/>
        </w:rPr>
        <w:t>6. előadás:</w:t>
      </w:r>
      <w:r>
        <w:rPr>
          <w:b/>
          <w:sz w:val="24"/>
          <w:szCs w:val="24"/>
        </w:rPr>
        <w:t xml:space="preserve"> Immunológiai memória. Vakcináció. Komplementrendszer. Gyulladásban és akut fázis reakcióban részt vevő sejttípusok és mediátorok.</w:t>
      </w:r>
    </w:p>
    <w:p w:rsidR="00B64724" w:rsidRDefault="00360063">
      <w:pPr>
        <w:spacing w:before="120" w:after="0" w:line="240" w:lineRule="auto"/>
        <w:jc w:val="both"/>
        <w:rPr>
          <w:sz w:val="24"/>
          <w:szCs w:val="24"/>
        </w:rPr>
      </w:pPr>
      <w:r>
        <w:rPr>
          <w:sz w:val="24"/>
          <w:szCs w:val="24"/>
        </w:rPr>
        <w:t xml:space="preserve">Mutassa be a memória </w:t>
      </w:r>
      <w:r>
        <w:rPr>
          <w:sz w:val="24"/>
          <w:szCs w:val="24"/>
        </w:rPr>
        <w:t xml:space="preserve">T- és B-sejtek képződését és sajátosságait. Jellemezze a másodlagos immunválasz kinetikáját. Fejtse ki a vakcináció alapelvét. Hasonlítsa össze a legismertebb vakcina típusokat. Vesse össze az aktív és passzív immunizálás jellemzőit. </w:t>
      </w:r>
    </w:p>
    <w:p w:rsidR="00B64724" w:rsidRDefault="00360063">
      <w:pPr>
        <w:spacing w:before="120" w:after="0" w:line="240" w:lineRule="auto"/>
        <w:jc w:val="both"/>
        <w:rPr>
          <w:sz w:val="24"/>
          <w:szCs w:val="24"/>
        </w:rPr>
      </w:pPr>
      <w:r>
        <w:rPr>
          <w:sz w:val="24"/>
          <w:szCs w:val="24"/>
        </w:rPr>
        <w:t>Sorolja fel a komplem</w:t>
      </w:r>
      <w:r>
        <w:rPr>
          <w:sz w:val="24"/>
          <w:szCs w:val="24"/>
        </w:rPr>
        <w:t>entrendszer komponenseit és útvonalait. Magyarázza el a klasszikus út aktiválódását a C1 komplex szerkezete alapján, majd részletezze a komplement kaszkád lépéseit. Sorolja fel az alternatív aktiválódási út résztvevőit. Ismertesse a lektin-indukált aktivác</w:t>
      </w:r>
      <w:r>
        <w:rPr>
          <w:sz w:val="24"/>
          <w:szCs w:val="24"/>
        </w:rPr>
        <w:t>iót és bekapcsolódását a klasszikus út kaszkádjába. Írja le a komplementaktiváció kései lépéseit. Sorolja fel a komplementreceptorokat. Fejtse ki a komplementrendszer feladatait a pathogének elleni immunválaszban, a B-sejtek aktiválásában, az immunkomplexe</w:t>
      </w:r>
      <w:r>
        <w:rPr>
          <w:sz w:val="24"/>
          <w:szCs w:val="24"/>
        </w:rPr>
        <w:t>k és apoptótikus sejtek eltakarításában. Ismertesse a komplement aktiváció szabályozási lehetőségeit és zavarának következményeit.</w:t>
      </w:r>
    </w:p>
    <w:p w:rsidR="00B64724" w:rsidRDefault="00360063">
      <w:pPr>
        <w:spacing w:before="120" w:after="0" w:line="240" w:lineRule="auto"/>
        <w:jc w:val="both"/>
        <w:rPr>
          <w:sz w:val="24"/>
          <w:szCs w:val="24"/>
        </w:rPr>
      </w:pPr>
      <w:r>
        <w:rPr>
          <w:sz w:val="24"/>
          <w:szCs w:val="24"/>
        </w:rPr>
        <w:lastRenderedPageBreak/>
        <w:t>Sorolja fel a gyulladásban részt vevő sejttípusokat és ismertesse feladataikat. Sorolja fel a gyulladási mediátorok típusait.</w:t>
      </w:r>
      <w:r>
        <w:rPr>
          <w:sz w:val="24"/>
          <w:szCs w:val="24"/>
        </w:rPr>
        <w:t xml:space="preserve"> Nevezze meg a gyulladási citokineket és vázolja fel a termelődésüket kiváltó jelátviteli útvonalakat. Ismertesse a gyulladási citokinek helyi és szisztémás hatását. Soroljon fel néhány akut fázis fehérjét. Vázolja fel a gyulladásban szereplő plazmaenzimre</w:t>
      </w:r>
      <w:r>
        <w:rPr>
          <w:sz w:val="24"/>
          <w:szCs w:val="24"/>
        </w:rPr>
        <w:t>ndszereket. Magyarázza el a lipidmediátorok keletkezését és azok feladatát a gyulladásban. Különítse el az akut és krónikus gyulladás jellemzőit. Fejtse ki a gyulladáscsökkentés lehetőségeit.</w:t>
      </w:r>
    </w:p>
    <w:p w:rsidR="00B64724" w:rsidRDefault="00B64724">
      <w:pPr>
        <w:spacing w:before="120" w:after="0" w:line="240" w:lineRule="auto"/>
        <w:jc w:val="both"/>
        <w:rPr>
          <w:sz w:val="24"/>
          <w:szCs w:val="24"/>
        </w:rPr>
      </w:pPr>
    </w:p>
    <w:p w:rsidR="00B64724" w:rsidRDefault="00360063">
      <w:pPr>
        <w:spacing w:before="120" w:after="0" w:line="240" w:lineRule="auto"/>
        <w:jc w:val="both"/>
        <w:rPr>
          <w:b/>
          <w:sz w:val="24"/>
          <w:szCs w:val="24"/>
        </w:rPr>
      </w:pPr>
      <w:r>
        <w:rPr>
          <w:b/>
          <w:sz w:val="24"/>
          <w:szCs w:val="24"/>
          <w:u w:val="single"/>
        </w:rPr>
        <w:t xml:space="preserve">7. előadás: </w:t>
      </w:r>
      <w:r>
        <w:rPr>
          <w:b/>
          <w:sz w:val="24"/>
          <w:szCs w:val="24"/>
        </w:rPr>
        <w:t>Autoimmunitás. Centrális és perifériás immuntoleran</w:t>
      </w:r>
      <w:r>
        <w:rPr>
          <w:b/>
          <w:sz w:val="24"/>
          <w:szCs w:val="24"/>
        </w:rPr>
        <w:t>cia.</w:t>
      </w:r>
    </w:p>
    <w:p w:rsidR="00B64724" w:rsidRDefault="00360063">
      <w:pPr>
        <w:spacing w:before="120" w:after="0" w:line="240" w:lineRule="auto"/>
        <w:jc w:val="both"/>
        <w:rPr>
          <w:sz w:val="24"/>
          <w:szCs w:val="24"/>
        </w:rPr>
      </w:pPr>
      <w:r>
        <w:rPr>
          <w:sz w:val="24"/>
          <w:szCs w:val="24"/>
        </w:rPr>
        <w:t xml:space="preserve">Ismertesse az immuntolerancia fogalmát, megkülönböztetését az immundeficienciától ill. immunszuppressziótól. Hasonlítsa össze az effektor és toleráns immunválaszt. </w:t>
      </w:r>
      <w:r>
        <w:rPr>
          <w:sz w:val="24"/>
          <w:szCs w:val="24"/>
        </w:rPr>
        <w:br/>
        <w:t xml:space="preserve">Ismertesse a centrális tolerancia kialakulásának helyét, elveit, a pozitív és negatív </w:t>
      </w:r>
      <w:r>
        <w:rPr>
          <w:sz w:val="24"/>
          <w:szCs w:val="24"/>
        </w:rPr>
        <w:t>szelekciót.</w:t>
      </w:r>
      <w:r>
        <w:rPr>
          <w:sz w:val="24"/>
          <w:szCs w:val="24"/>
        </w:rPr>
        <w:br/>
        <w:t>Ismertesse a perifériás tolerancia kialakulásának helyét, elveit, a kialakításában részt vevő főbb mechanizmusokat (sejtközötti kommunikáció, citokinek).</w:t>
      </w:r>
      <w:r>
        <w:rPr>
          <w:sz w:val="24"/>
          <w:szCs w:val="24"/>
        </w:rPr>
        <w:br/>
        <w:t>Ismertesse a regulátor T-sejtek fogalmát, mutassa be a kialakulásukat, funkciójuk alapjait</w:t>
      </w:r>
      <w:r>
        <w:rPr>
          <w:sz w:val="24"/>
          <w:szCs w:val="24"/>
        </w:rPr>
        <w:t>, altípusait.</w:t>
      </w:r>
      <w:r>
        <w:rPr>
          <w:sz w:val="24"/>
          <w:szCs w:val="24"/>
        </w:rPr>
        <w:br/>
        <w:t>Ismertesse az autoimmunitás, autoimmun betegségek fogalmát.</w:t>
      </w:r>
      <w:r>
        <w:rPr>
          <w:sz w:val="24"/>
          <w:szCs w:val="24"/>
        </w:rPr>
        <w:br/>
        <w:t>Sorolja fel a fő különbségeket a szervspecifikus és szisztémás autoimmun betegségek között, mutasson példákat mindkét csoporton belül betegségekre.</w:t>
      </w:r>
      <w:r>
        <w:rPr>
          <w:sz w:val="24"/>
          <w:szCs w:val="24"/>
        </w:rPr>
        <w:br/>
        <w:t>Mutassa be a polygénes háttér szer</w:t>
      </w:r>
      <w:r>
        <w:rPr>
          <w:sz w:val="24"/>
          <w:szCs w:val="24"/>
        </w:rPr>
        <w:t>epét az autoimmunitás kialakításában.</w:t>
      </w:r>
      <w:r>
        <w:rPr>
          <w:sz w:val="24"/>
          <w:szCs w:val="24"/>
        </w:rPr>
        <w:br/>
        <w:t>Mutassa be a környezeti tényezők szerepét az autoimmunitás kialakításában.</w:t>
      </w:r>
      <w:r>
        <w:rPr>
          <w:sz w:val="24"/>
          <w:szCs w:val="24"/>
        </w:rPr>
        <w:br/>
        <w:t>Ismertesse a perifériás tolerancia áttörésének lehetőségeit az autoimmun betegségek kialakulása során.</w:t>
      </w:r>
      <w:r>
        <w:rPr>
          <w:sz w:val="24"/>
          <w:szCs w:val="24"/>
        </w:rPr>
        <w:br/>
        <w:t>Az előadásban bemutatott példák ismerete</w:t>
      </w:r>
      <w:r>
        <w:rPr>
          <w:sz w:val="24"/>
          <w:szCs w:val="24"/>
        </w:rPr>
        <w:t xml:space="preserve"> egy-egy autoimmun betegség pathomechanizmusával kapcsolatosan.</w:t>
      </w:r>
    </w:p>
    <w:p w:rsidR="00B64724" w:rsidRDefault="00B64724">
      <w:pPr>
        <w:spacing w:before="120" w:after="0" w:line="240" w:lineRule="auto"/>
        <w:jc w:val="both"/>
        <w:rPr>
          <w:sz w:val="24"/>
          <w:szCs w:val="24"/>
        </w:rPr>
      </w:pPr>
    </w:p>
    <w:p w:rsidR="00B64724" w:rsidRDefault="00360063">
      <w:pPr>
        <w:spacing w:before="120" w:after="0" w:line="240" w:lineRule="auto"/>
        <w:jc w:val="both"/>
        <w:rPr>
          <w:b/>
          <w:sz w:val="24"/>
          <w:szCs w:val="24"/>
        </w:rPr>
      </w:pPr>
      <w:r>
        <w:rPr>
          <w:b/>
          <w:sz w:val="24"/>
          <w:szCs w:val="24"/>
          <w:u w:val="single"/>
        </w:rPr>
        <w:t xml:space="preserve">8. előadás: </w:t>
      </w:r>
      <w:r>
        <w:rPr>
          <w:b/>
          <w:sz w:val="24"/>
          <w:szCs w:val="24"/>
        </w:rPr>
        <w:t>Jegymegajánló dolgozat</w:t>
      </w:r>
    </w:p>
    <w:p w:rsidR="00B64724" w:rsidRDefault="00B64724">
      <w:pPr>
        <w:spacing w:before="120" w:after="0" w:line="240" w:lineRule="auto"/>
        <w:jc w:val="both"/>
        <w:rPr>
          <w:b/>
          <w:sz w:val="24"/>
          <w:szCs w:val="24"/>
          <w:u w:val="single"/>
        </w:rPr>
      </w:pPr>
    </w:p>
    <w:p w:rsidR="00B64724" w:rsidRDefault="00360063">
      <w:pPr>
        <w:spacing w:before="120" w:after="0" w:line="240" w:lineRule="auto"/>
        <w:jc w:val="both"/>
        <w:rPr>
          <w:b/>
          <w:sz w:val="24"/>
          <w:szCs w:val="24"/>
        </w:rPr>
      </w:pPr>
      <w:r>
        <w:rPr>
          <w:b/>
          <w:sz w:val="24"/>
          <w:szCs w:val="24"/>
          <w:u w:val="single"/>
        </w:rPr>
        <w:t>9. előadás:</w:t>
      </w:r>
      <w:r>
        <w:rPr>
          <w:b/>
          <w:sz w:val="24"/>
          <w:szCs w:val="24"/>
        </w:rPr>
        <w:t xml:space="preserve"> Tumorimmunológia. Immunterápiák és szerepük a dagantterápiában.</w:t>
      </w:r>
    </w:p>
    <w:p w:rsidR="00B64724" w:rsidRDefault="00360063">
      <w:pPr>
        <w:spacing w:before="120" w:after="0" w:line="240" w:lineRule="auto"/>
        <w:jc w:val="both"/>
        <w:rPr>
          <w:sz w:val="24"/>
          <w:szCs w:val="24"/>
        </w:rPr>
      </w:pPr>
      <w:r>
        <w:rPr>
          <w:sz w:val="24"/>
          <w:szCs w:val="24"/>
        </w:rPr>
        <w:t>Ismerje a daganatok fogalmát, mutassa be a kialakulásuk molekuláris alapjait. I</w:t>
      </w:r>
      <w:r>
        <w:rPr>
          <w:sz w:val="24"/>
          <w:szCs w:val="24"/>
        </w:rPr>
        <w:t>smerje a kémiai, fizikai, biológiai karcinogéneket. Mutassa be a daganatok antigenitását. Ismertesse a veleszületett immunitás elemeinek szerepét a daganatok elleni védekezésben. Vázolja fel az  adaptív immunitás elemeinek szerepét a védekezésben. Ismertes</w:t>
      </w:r>
      <w:r>
        <w:rPr>
          <w:sz w:val="24"/>
          <w:szCs w:val="24"/>
        </w:rPr>
        <w:t>se a  daganatok menekülési mechanizmusait az immunvédekezés elől. Mutassa be a daganatterápiák csoportosítását. Soroljon fel biológiai terápiákat. Mutassa be a kiegészítő terápiák helyét a tumorok kezelésében. (Complementary Alternative Medicine).</w:t>
      </w:r>
    </w:p>
    <w:p w:rsidR="00B64724" w:rsidRDefault="00B64724">
      <w:pPr>
        <w:spacing w:before="120" w:after="0" w:line="240" w:lineRule="auto"/>
        <w:jc w:val="both"/>
        <w:rPr>
          <w:sz w:val="24"/>
          <w:szCs w:val="24"/>
        </w:rPr>
      </w:pPr>
    </w:p>
    <w:p w:rsidR="00B64724" w:rsidRDefault="00360063">
      <w:pPr>
        <w:spacing w:before="120" w:after="0" w:line="240" w:lineRule="auto"/>
        <w:jc w:val="both"/>
        <w:rPr>
          <w:b/>
          <w:sz w:val="24"/>
          <w:szCs w:val="24"/>
        </w:rPr>
      </w:pPr>
      <w:r>
        <w:rPr>
          <w:b/>
          <w:sz w:val="24"/>
          <w:szCs w:val="24"/>
          <w:u w:val="single"/>
        </w:rPr>
        <w:t>10.</w:t>
      </w:r>
      <w:r>
        <w:rPr>
          <w:sz w:val="24"/>
          <w:szCs w:val="24"/>
          <w:u w:val="single"/>
        </w:rPr>
        <w:t xml:space="preserve"> </w:t>
      </w:r>
      <w:r>
        <w:rPr>
          <w:b/>
          <w:sz w:val="24"/>
          <w:szCs w:val="24"/>
          <w:u w:val="single"/>
        </w:rPr>
        <w:t>elő</w:t>
      </w:r>
      <w:r>
        <w:rPr>
          <w:b/>
          <w:sz w:val="24"/>
          <w:szCs w:val="24"/>
          <w:u w:val="single"/>
        </w:rPr>
        <w:t>adás:</w:t>
      </w:r>
      <w:r>
        <w:rPr>
          <w:b/>
          <w:sz w:val="24"/>
          <w:szCs w:val="24"/>
        </w:rPr>
        <w:t xml:space="preserve"> Az extracelluláris pathogének elleni immunválaszok. Az intracelluláris pathogének elleni immunválaszok. Immunescape.</w:t>
      </w:r>
    </w:p>
    <w:p w:rsidR="00B64724" w:rsidRDefault="00360063">
      <w:pPr>
        <w:spacing w:before="120" w:after="0" w:line="240" w:lineRule="auto"/>
        <w:jc w:val="both"/>
        <w:rPr>
          <w:sz w:val="24"/>
          <w:szCs w:val="24"/>
        </w:rPr>
      </w:pPr>
      <w:r>
        <w:rPr>
          <w:sz w:val="24"/>
          <w:szCs w:val="24"/>
        </w:rPr>
        <w:t>Vázolja fel az immunválasz kialakulásának és lezajlásának kinetikáját a pathogének hatására. Osztályozza a pathogénmintázatot felisme</w:t>
      </w:r>
      <w:r>
        <w:rPr>
          <w:sz w:val="24"/>
          <w:szCs w:val="24"/>
        </w:rPr>
        <w:t>rő receptorokat ligandumaik és szerkezetük alapján. Sorolja fel a Toll-szerű receptorok (TLR) családjának tagjait és ligandumait. Vázolja fel a TLR-ek jelátviteli folyamatait.</w:t>
      </w:r>
    </w:p>
    <w:p w:rsidR="00B64724" w:rsidRDefault="00360063">
      <w:pPr>
        <w:spacing w:before="120" w:after="0" w:line="240" w:lineRule="auto"/>
        <w:jc w:val="both"/>
        <w:rPr>
          <w:sz w:val="24"/>
          <w:szCs w:val="24"/>
        </w:rPr>
      </w:pPr>
      <w:r>
        <w:rPr>
          <w:sz w:val="24"/>
          <w:szCs w:val="24"/>
        </w:rPr>
        <w:lastRenderedPageBreak/>
        <w:t>Sorolja fel az extracelluláris pathogének elleni védekezés sejtes és humorális e</w:t>
      </w:r>
      <w:r>
        <w:rPr>
          <w:sz w:val="24"/>
          <w:szCs w:val="24"/>
        </w:rPr>
        <w:t>lemeit. Magyarázza el az extracelluláris pathogének elleni védekezés folyamatát, belefoglalva az antigén felismerését, feldolgozását, bemutatását az adaptív immunrendszer számára és a pathogén megsemmisítésének fázisát. Definiálja a következő fogalmakat: f</w:t>
      </w:r>
      <w:r>
        <w:rPr>
          <w:sz w:val="24"/>
          <w:szCs w:val="24"/>
        </w:rPr>
        <w:t>agocitózis, opszonizáció, neutralizáció. Vázolja fel a többsejtű paraziták ellen kialakuló immunválasz lépéseit.</w:t>
      </w:r>
    </w:p>
    <w:p w:rsidR="00B64724" w:rsidRDefault="00360063">
      <w:pPr>
        <w:spacing w:before="120" w:after="0" w:line="240" w:lineRule="auto"/>
        <w:jc w:val="both"/>
        <w:rPr>
          <w:sz w:val="24"/>
          <w:szCs w:val="24"/>
        </w:rPr>
      </w:pPr>
      <w:r>
        <w:rPr>
          <w:sz w:val="24"/>
          <w:szCs w:val="24"/>
        </w:rPr>
        <w:t>Ismertesse az intracelluláris (intravezikuláris és citoszólikus) pathogének elleni védekezés módjait, lépéseit, az ebben résztvevő sejtes és hu</w:t>
      </w:r>
      <w:r>
        <w:rPr>
          <w:sz w:val="24"/>
          <w:szCs w:val="24"/>
        </w:rPr>
        <w:t xml:space="preserve">morális elemeket. Mutassa be egy kiválasztott vírus példáján az ellene irányuló immunválaszt, a felismeréstől az elpusztításig tartó folyamatát. </w:t>
      </w:r>
    </w:p>
    <w:p w:rsidR="00B64724" w:rsidRDefault="00360063">
      <w:pPr>
        <w:spacing w:before="120" w:after="0" w:line="240" w:lineRule="auto"/>
        <w:jc w:val="both"/>
        <w:rPr>
          <w:sz w:val="24"/>
          <w:szCs w:val="24"/>
        </w:rPr>
      </w:pPr>
      <w:r>
        <w:rPr>
          <w:sz w:val="24"/>
          <w:szCs w:val="24"/>
        </w:rPr>
        <w:t>Soroljon fel néhány példát az extracelluláris baktériumok menekülési útjaira. Csoportosítsa a vírusok immunvál</w:t>
      </w:r>
      <w:r>
        <w:rPr>
          <w:sz w:val="24"/>
          <w:szCs w:val="24"/>
        </w:rPr>
        <w:t>aszt kikerülő mechanizmusait, nevezzen meg egy-egy példát.</w:t>
      </w:r>
    </w:p>
    <w:p w:rsidR="00B64724" w:rsidRDefault="00B64724">
      <w:pPr>
        <w:spacing w:line="240" w:lineRule="auto"/>
        <w:jc w:val="both"/>
        <w:rPr>
          <w:sz w:val="24"/>
          <w:szCs w:val="24"/>
        </w:rPr>
      </w:pPr>
    </w:p>
    <w:p w:rsidR="00B64724" w:rsidRDefault="00360063">
      <w:pPr>
        <w:spacing w:line="240" w:lineRule="auto"/>
        <w:jc w:val="both"/>
        <w:rPr>
          <w:b/>
          <w:sz w:val="24"/>
          <w:szCs w:val="24"/>
        </w:rPr>
      </w:pPr>
      <w:r>
        <w:rPr>
          <w:b/>
          <w:sz w:val="24"/>
          <w:szCs w:val="24"/>
          <w:u w:val="single"/>
        </w:rPr>
        <w:t xml:space="preserve">11. előadás: </w:t>
      </w:r>
      <w:r>
        <w:rPr>
          <w:b/>
          <w:sz w:val="24"/>
          <w:szCs w:val="24"/>
        </w:rPr>
        <w:t>A hiperszenzitivitási reakciók típusai és jellemzői. Allergiás reakciók.</w:t>
      </w:r>
    </w:p>
    <w:p w:rsidR="00B64724" w:rsidRDefault="00360063">
      <w:pPr>
        <w:spacing w:line="240" w:lineRule="auto"/>
        <w:jc w:val="both"/>
        <w:rPr>
          <w:sz w:val="24"/>
          <w:szCs w:val="24"/>
        </w:rPr>
      </w:pPr>
      <w:r>
        <w:rPr>
          <w:sz w:val="24"/>
          <w:szCs w:val="24"/>
        </w:rPr>
        <w:t>Definiálja a túlérzékenységi reakciók típusait, mutassa be csoportosításukat, ismertesse az egyes típusok főbb jellemzőit és soroljon fel példákat.</w:t>
      </w:r>
    </w:p>
    <w:p w:rsidR="00B64724" w:rsidRDefault="00360063">
      <w:pPr>
        <w:spacing w:line="240" w:lineRule="auto"/>
        <w:jc w:val="both"/>
        <w:rPr>
          <w:sz w:val="24"/>
          <w:szCs w:val="24"/>
        </w:rPr>
      </w:pPr>
      <w:r>
        <w:rPr>
          <w:sz w:val="24"/>
          <w:szCs w:val="24"/>
          <w:u w:val="single"/>
        </w:rPr>
        <w:t>Az I. típusú (allergiás) túlérzékenységi reakciók:</w:t>
      </w:r>
      <w:r>
        <w:rPr>
          <w:sz w:val="24"/>
          <w:szCs w:val="24"/>
        </w:rPr>
        <w:t xml:space="preserve"> Az allergének jellemzői, példák a leggyakoribb allergének</w:t>
      </w:r>
      <w:r>
        <w:rPr>
          <w:sz w:val="24"/>
          <w:szCs w:val="24"/>
        </w:rPr>
        <w:t>re. Vázolja az effektor sejtek (hízósejtek és bazofil granulociták) jellemzőit és aktiválódását. Sorolja fel az az allergiás tünetek kialakulása közben lejátszódó sejtszintű azonnali és késői folyamatok. Rajzolja fel az 1. és 2. allergénexpozíció során tör</w:t>
      </w:r>
      <w:r>
        <w:rPr>
          <w:sz w:val="24"/>
          <w:szCs w:val="24"/>
        </w:rPr>
        <w:t>ténő sejtszintű folyamatokat. Sorolja fel az I. tipusú túlérzékenységi reakció mediátorait. Mutassa be a hízósejt aktiváció hatását az emésztőrendszer, a légutak és a vérerekre. Az I-es típusú túlérzékenységi reakció megnyilvánulási formái, definiálja a lo</w:t>
      </w:r>
      <w:r>
        <w:rPr>
          <w:sz w:val="24"/>
          <w:szCs w:val="24"/>
        </w:rPr>
        <w:t>kalizált és szisztémás anafilaxia fogalmát. Mutassa be az allergiás reakció gátlását és a terápiás lehetőségeket.</w:t>
      </w:r>
    </w:p>
    <w:p w:rsidR="00B64724" w:rsidRDefault="00360063">
      <w:pPr>
        <w:spacing w:line="240" w:lineRule="auto"/>
        <w:jc w:val="both"/>
        <w:rPr>
          <w:sz w:val="24"/>
          <w:szCs w:val="24"/>
        </w:rPr>
      </w:pPr>
      <w:r>
        <w:rPr>
          <w:sz w:val="24"/>
          <w:szCs w:val="24"/>
          <w:u w:val="single"/>
        </w:rPr>
        <w:t>A II. típusú túlérzékenységi reakció:</w:t>
      </w:r>
      <w:r>
        <w:rPr>
          <w:sz w:val="24"/>
          <w:szCs w:val="24"/>
        </w:rPr>
        <w:t xml:space="preserve"> Definiálja a II. tip túlérzékenységi reakciót.. Definiálja az ADCC fogalmát. Soroljon fel példákat. Muta</w:t>
      </w:r>
      <w:r>
        <w:rPr>
          <w:sz w:val="24"/>
          <w:szCs w:val="24"/>
        </w:rPr>
        <w:t>ssa be a fötális haemolítikus betegség (Rh inkompatibilitás) jellemzőit, és okát, valamint a terápiás lehetőségeket.</w:t>
      </w:r>
    </w:p>
    <w:p w:rsidR="00B64724" w:rsidRDefault="00360063">
      <w:pPr>
        <w:spacing w:line="240" w:lineRule="auto"/>
        <w:jc w:val="both"/>
        <w:rPr>
          <w:sz w:val="24"/>
          <w:szCs w:val="24"/>
        </w:rPr>
      </w:pPr>
      <w:r>
        <w:rPr>
          <w:sz w:val="24"/>
          <w:szCs w:val="24"/>
          <w:u w:val="single"/>
        </w:rPr>
        <w:t>A III. típusú túlérzékenységi reakció:</w:t>
      </w:r>
      <w:r>
        <w:rPr>
          <w:sz w:val="24"/>
          <w:szCs w:val="24"/>
        </w:rPr>
        <w:t xml:space="preserve"> Definiálja a III. tip túlérzékenységi reakciót, mutassa be sejtszintű mechanizmusát. A frusztrált fagocitózis definíciója. Mutassa be az immunkomplex lerakódás mechanizmusát és okait. Mutasson be példákat (globalizált: szérumbetegség, SLE, Reumathoid arth</w:t>
      </w:r>
      <w:r>
        <w:rPr>
          <w:sz w:val="24"/>
          <w:szCs w:val="24"/>
        </w:rPr>
        <w:t>ritis). Az Arthus reakció definíciója</w:t>
      </w:r>
    </w:p>
    <w:p w:rsidR="00B64724" w:rsidRDefault="00360063">
      <w:pPr>
        <w:spacing w:line="240" w:lineRule="auto"/>
        <w:jc w:val="both"/>
        <w:rPr>
          <w:sz w:val="24"/>
          <w:szCs w:val="24"/>
        </w:rPr>
      </w:pPr>
      <w:r>
        <w:rPr>
          <w:sz w:val="24"/>
          <w:szCs w:val="24"/>
          <w:u w:val="single"/>
        </w:rPr>
        <w:t>A IV. tipusú túlérzékenységi reakció</w:t>
      </w:r>
      <w:r>
        <w:rPr>
          <w:sz w:val="24"/>
          <w:szCs w:val="24"/>
        </w:rPr>
        <w:t>: Definiálja a IV. tip. túlérzékenységi reakciót, mutassa be a IV. tip. túlérzékenységi reakció során lejátszódó sejtszintű mechanizmusokat. Soroljon fel példákat a IV. tip. túlérzék</w:t>
      </w:r>
      <w:r>
        <w:rPr>
          <w:sz w:val="24"/>
          <w:szCs w:val="24"/>
        </w:rPr>
        <w:t>enységi reakciót kiváltó antigénekre. Mutassa be és definiálja a tuberkulin típusú reakció és a kontakt dermatitisz mechanizmusát.</w:t>
      </w:r>
    </w:p>
    <w:p w:rsidR="00B64724" w:rsidRDefault="00B64724">
      <w:pPr>
        <w:spacing w:line="240" w:lineRule="auto"/>
        <w:jc w:val="both"/>
        <w:rPr>
          <w:b/>
          <w:sz w:val="24"/>
          <w:szCs w:val="24"/>
        </w:rPr>
      </w:pPr>
    </w:p>
    <w:p w:rsidR="00B64724" w:rsidRDefault="00360063">
      <w:pPr>
        <w:spacing w:line="240" w:lineRule="auto"/>
        <w:jc w:val="both"/>
        <w:rPr>
          <w:b/>
          <w:sz w:val="24"/>
          <w:szCs w:val="24"/>
        </w:rPr>
      </w:pPr>
      <w:r>
        <w:rPr>
          <w:b/>
          <w:sz w:val="24"/>
          <w:szCs w:val="24"/>
          <w:u w:val="single"/>
        </w:rPr>
        <w:t>12.előadás:</w:t>
      </w:r>
      <w:r>
        <w:rPr>
          <w:b/>
          <w:sz w:val="24"/>
          <w:szCs w:val="24"/>
        </w:rPr>
        <w:t xml:space="preserve"> Transzplantáció, terhességi immunológia.</w:t>
      </w:r>
    </w:p>
    <w:p w:rsidR="00B64724" w:rsidRDefault="00360063">
      <w:pPr>
        <w:spacing w:line="240" w:lineRule="auto"/>
        <w:jc w:val="both"/>
        <w:rPr>
          <w:sz w:val="24"/>
          <w:szCs w:val="24"/>
        </w:rPr>
      </w:pPr>
      <w:r>
        <w:rPr>
          <w:sz w:val="24"/>
          <w:szCs w:val="24"/>
        </w:rPr>
        <w:t>Ismertesse az immunológiai tolerancia típusait. Ismertesse a T-sejtes t</w:t>
      </w:r>
      <w:r>
        <w:rPr>
          <w:sz w:val="24"/>
          <w:szCs w:val="24"/>
        </w:rPr>
        <w:t xml:space="preserve">olerancia és B-sejtes tolerancia alapjait. Magyarázza el a centrális és perifériás tolerancia molekuláris folyamatait. Ismertesse a HLA-tipizálás hátterét. Definiálja az alábbi alapfogalmakat: graft, donor, </w:t>
      </w:r>
      <w:r>
        <w:rPr>
          <w:sz w:val="24"/>
          <w:szCs w:val="24"/>
        </w:rPr>
        <w:lastRenderedPageBreak/>
        <w:t>recipiens, rejekció. Definiálja az autológ, allog</w:t>
      </w:r>
      <w:r>
        <w:rPr>
          <w:sz w:val="24"/>
          <w:szCs w:val="24"/>
        </w:rPr>
        <w:t>én, xenogén graft fogalmát. Definiálja az auto-, allo-, xeno-transzplantáció fogalmát. Csoportosítsa a transzplantációs antigéneket. Mutassa be a kilökődési reakciók típusait. Osztályozza a host versus graft (HvG)reakció típusait. Mutassa be a hiperakut, a</w:t>
      </w:r>
      <w:r>
        <w:rPr>
          <w:sz w:val="24"/>
          <w:szCs w:val="24"/>
        </w:rPr>
        <w:t>kut és krónikus HvG folyamatát, a résztvevő sejtek és molekuláris szabályozómechanizmusok működését. Részletezze a T-sejtek szerepét a szervkilökődésben. Graft versus Host (GvH) reakció ismertetése. Mutassa be a szervkilökődések gyógyszeres kezelésének leh</w:t>
      </w:r>
      <w:r>
        <w:rPr>
          <w:sz w:val="24"/>
          <w:szCs w:val="24"/>
        </w:rPr>
        <w:t>etőségeit. Mutassa be a magzat tolerálásának szisztémás és immunológiai alapjait. Részletezze a placenta immunológiai szerepét. Ismertesse az újszülöttek haemolitikus anémiájának patomechanizmusát és terápiás lehetőségeit.</w:t>
      </w:r>
    </w:p>
    <w:p w:rsidR="00B64724" w:rsidRDefault="00B64724">
      <w:pPr>
        <w:spacing w:line="240" w:lineRule="auto"/>
        <w:jc w:val="both"/>
        <w:rPr>
          <w:sz w:val="24"/>
          <w:szCs w:val="24"/>
        </w:rPr>
      </w:pPr>
    </w:p>
    <w:p w:rsidR="00B64724" w:rsidRDefault="00360063">
      <w:pPr>
        <w:spacing w:line="240" w:lineRule="auto"/>
        <w:jc w:val="both"/>
        <w:rPr>
          <w:b/>
          <w:sz w:val="24"/>
          <w:szCs w:val="24"/>
        </w:rPr>
      </w:pPr>
      <w:r>
        <w:rPr>
          <w:b/>
          <w:sz w:val="24"/>
          <w:szCs w:val="24"/>
          <w:u w:val="single"/>
        </w:rPr>
        <w:t>13. előadás:</w:t>
      </w:r>
      <w:r>
        <w:rPr>
          <w:b/>
          <w:sz w:val="24"/>
          <w:szCs w:val="24"/>
        </w:rPr>
        <w:t xml:space="preserve"> Alapvető immunológi</w:t>
      </w:r>
      <w:r>
        <w:rPr>
          <w:b/>
          <w:sz w:val="24"/>
          <w:szCs w:val="24"/>
        </w:rPr>
        <w:t>a módszerek. Monoklonális ellenanyagok Immundiagnosztika.</w:t>
      </w:r>
    </w:p>
    <w:p w:rsidR="00B64724" w:rsidRDefault="00360063">
      <w:pPr>
        <w:spacing w:before="240" w:after="240"/>
        <w:jc w:val="both"/>
        <w:rPr>
          <w:sz w:val="24"/>
          <w:szCs w:val="24"/>
        </w:rPr>
      </w:pPr>
      <w:r>
        <w:rPr>
          <w:sz w:val="24"/>
          <w:szCs w:val="24"/>
        </w:rPr>
        <w:t>Definiálja az enzim immunoassay fogalmát, ismertesse az ELISA módszerek típusait. Ismertesse az ELISA módszerek értékeléséhez használt kontroll, standard, index, cut-off, koncentráció, titer fogalmá</w:t>
      </w:r>
      <w:r>
        <w:rPr>
          <w:sz w:val="24"/>
          <w:szCs w:val="24"/>
        </w:rPr>
        <w:t>t. Ismertesse az immunglobulinok mennyiségi, minőségi vizsgálatának típusait. Definiálja a precipitáció, agglutináció fogalmát! Ismertesse a komplementkötési reakció és a hemagglutináció-gátlási reakció módszereket, alkalmazásuk a fertőzés kórképek diagnos</w:t>
      </w:r>
      <w:r>
        <w:rPr>
          <w:sz w:val="24"/>
          <w:szCs w:val="24"/>
        </w:rPr>
        <w:t>ztikájában. Ismertesse az immunfluoreszcencián alapuló módszereket a fertőző kórképek diagnosztikájában. Ismertesse az immunszerológiai módszerek gyakorlati alkalmazásának alapjait a fertőzéses kórképek diagnosztikájában. Ismertesse a Western-blot és a Lin</w:t>
      </w:r>
      <w:r>
        <w:rPr>
          <w:sz w:val="24"/>
          <w:szCs w:val="24"/>
        </w:rPr>
        <w:t>e Immunoassay alapjait a fertőzéses kórképek diagnosztikájában. Ismertesse az immunhisztokémia alapelveit. Ismertesse a monoklonális ellenanyagok előállítását és felhasználási területeit.</w:t>
      </w:r>
    </w:p>
    <w:p w:rsidR="00B64724" w:rsidRDefault="00B64724">
      <w:pPr>
        <w:spacing w:before="240" w:after="240"/>
        <w:jc w:val="both"/>
        <w:rPr>
          <w:sz w:val="24"/>
          <w:szCs w:val="24"/>
        </w:rPr>
      </w:pPr>
    </w:p>
    <w:p w:rsidR="00B64724" w:rsidRDefault="00360063">
      <w:pPr>
        <w:spacing w:before="120" w:after="0" w:line="240" w:lineRule="auto"/>
        <w:jc w:val="both"/>
        <w:rPr>
          <w:sz w:val="24"/>
          <w:szCs w:val="24"/>
          <w:highlight w:val="yellow"/>
        </w:rPr>
      </w:pPr>
      <w:r>
        <w:rPr>
          <w:b/>
          <w:sz w:val="24"/>
          <w:szCs w:val="24"/>
          <w:u w:val="single"/>
        </w:rPr>
        <w:t>14. előadás:</w:t>
      </w:r>
      <w:r>
        <w:rPr>
          <w:b/>
          <w:sz w:val="24"/>
          <w:szCs w:val="24"/>
        </w:rPr>
        <w:t xml:space="preserve"> Jegymegajánló dolgozat</w:t>
      </w:r>
    </w:p>
    <w:sectPr w:rsidR="00B64724">
      <w:footerReference w:type="default" r:id="rId7"/>
      <w:pgSz w:w="11906" w:h="16838"/>
      <w:pgMar w:top="1417" w:right="1417" w:bottom="1417" w:left="1417"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60063" w:rsidRDefault="00360063">
      <w:pPr>
        <w:spacing w:after="0" w:line="240" w:lineRule="auto"/>
      </w:pPr>
      <w:r>
        <w:separator/>
      </w:r>
    </w:p>
  </w:endnote>
  <w:endnote w:type="continuationSeparator" w:id="0">
    <w:p w:rsidR="00360063" w:rsidRDefault="003600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64724" w:rsidRDefault="00360063">
    <w:pPr>
      <w:pBdr>
        <w:top w:val="nil"/>
        <w:left w:val="nil"/>
        <w:bottom w:val="nil"/>
        <w:right w:val="nil"/>
        <w:between w:val="nil"/>
      </w:pBdr>
      <w:tabs>
        <w:tab w:val="center" w:pos="4536"/>
        <w:tab w:val="right" w:pos="9072"/>
      </w:tabs>
      <w:spacing w:after="0" w:line="240" w:lineRule="auto"/>
      <w:jc w:val="center"/>
      <w:rPr>
        <w:color w:val="000000"/>
      </w:rPr>
    </w:pPr>
    <w:r>
      <w:rPr>
        <w:color w:val="000000"/>
      </w:rPr>
      <w:fldChar w:fldCharType="begin"/>
    </w:r>
    <w:r>
      <w:rPr>
        <w:color w:val="000000"/>
      </w:rPr>
      <w:instrText>PAGE</w:instrText>
    </w:r>
    <w:r w:rsidR="007D2C76">
      <w:rPr>
        <w:color w:val="000000"/>
      </w:rPr>
      <w:fldChar w:fldCharType="separate"/>
    </w:r>
    <w:r w:rsidR="007D2C76">
      <w:rPr>
        <w:noProof/>
        <w:color w:val="000000"/>
      </w:rPr>
      <w:t>1</w:t>
    </w:r>
    <w:r>
      <w:rPr>
        <w:color w:val="000000"/>
      </w:rPr>
      <w:fldChar w:fldCharType="end"/>
    </w:r>
  </w:p>
  <w:p w:rsidR="00B64724" w:rsidRDefault="00B64724">
    <w:pPr>
      <w:pBdr>
        <w:top w:val="nil"/>
        <w:left w:val="nil"/>
        <w:bottom w:val="nil"/>
        <w:right w:val="nil"/>
        <w:between w:val="nil"/>
      </w:pBd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60063" w:rsidRDefault="00360063">
      <w:pPr>
        <w:spacing w:after="0" w:line="240" w:lineRule="auto"/>
      </w:pPr>
      <w:r>
        <w:separator/>
      </w:r>
    </w:p>
  </w:footnote>
  <w:footnote w:type="continuationSeparator" w:id="0">
    <w:p w:rsidR="00360063" w:rsidRDefault="0036006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4724"/>
    <w:rsid w:val="00360063"/>
    <w:rsid w:val="007D2C76"/>
    <w:rsid w:val="00B64724"/>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BD1766"/>
  <w15:docId w15:val="{CD4C08ED-D491-42D5-A873-C396E52C3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hu-HU" w:eastAsia="hu-H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paragraph" w:styleId="Cmsor1">
    <w:name w:val="heading 1"/>
    <w:basedOn w:val="Norml"/>
    <w:next w:val="Norml"/>
    <w:uiPriority w:val="9"/>
    <w:qFormat/>
    <w:pPr>
      <w:keepNext/>
      <w:keepLines/>
      <w:spacing w:before="480" w:after="120"/>
      <w:outlineLvl w:val="0"/>
    </w:pPr>
    <w:rPr>
      <w:b/>
      <w:sz w:val="48"/>
      <w:szCs w:val="48"/>
    </w:rPr>
  </w:style>
  <w:style w:type="paragraph" w:styleId="Cmsor2">
    <w:name w:val="heading 2"/>
    <w:basedOn w:val="Norml"/>
    <w:next w:val="Norml"/>
    <w:uiPriority w:val="9"/>
    <w:semiHidden/>
    <w:unhideWhenUsed/>
    <w:qFormat/>
    <w:pPr>
      <w:keepNext/>
      <w:keepLines/>
      <w:spacing w:before="360" w:after="80"/>
      <w:outlineLvl w:val="1"/>
    </w:pPr>
    <w:rPr>
      <w:b/>
      <w:sz w:val="36"/>
      <w:szCs w:val="36"/>
    </w:rPr>
  </w:style>
  <w:style w:type="paragraph" w:styleId="Cmsor3">
    <w:name w:val="heading 3"/>
    <w:basedOn w:val="Norml"/>
    <w:next w:val="Norml"/>
    <w:uiPriority w:val="9"/>
    <w:semiHidden/>
    <w:unhideWhenUsed/>
    <w:qFormat/>
    <w:pPr>
      <w:keepNext/>
      <w:keepLines/>
      <w:spacing w:before="280" w:after="80"/>
      <w:outlineLvl w:val="2"/>
    </w:pPr>
    <w:rPr>
      <w:b/>
      <w:sz w:val="28"/>
      <w:szCs w:val="28"/>
    </w:rPr>
  </w:style>
  <w:style w:type="paragraph" w:styleId="Cmsor4">
    <w:name w:val="heading 4"/>
    <w:basedOn w:val="Norml"/>
    <w:next w:val="Norml"/>
    <w:uiPriority w:val="9"/>
    <w:semiHidden/>
    <w:unhideWhenUsed/>
    <w:qFormat/>
    <w:pPr>
      <w:keepNext/>
      <w:keepLines/>
      <w:spacing w:before="240" w:after="40"/>
      <w:outlineLvl w:val="3"/>
    </w:pPr>
    <w:rPr>
      <w:b/>
      <w:sz w:val="24"/>
      <w:szCs w:val="24"/>
    </w:rPr>
  </w:style>
  <w:style w:type="paragraph" w:styleId="Cmsor5">
    <w:name w:val="heading 5"/>
    <w:basedOn w:val="Norml"/>
    <w:next w:val="Norml"/>
    <w:uiPriority w:val="9"/>
    <w:semiHidden/>
    <w:unhideWhenUsed/>
    <w:qFormat/>
    <w:pPr>
      <w:keepNext/>
      <w:keepLines/>
      <w:spacing w:before="220" w:after="40"/>
      <w:outlineLvl w:val="4"/>
    </w:pPr>
    <w:rPr>
      <w:b/>
    </w:rPr>
  </w:style>
  <w:style w:type="paragraph" w:styleId="Cmsor6">
    <w:name w:val="heading 6"/>
    <w:basedOn w:val="Norml"/>
    <w:next w:val="Norml"/>
    <w:uiPriority w:val="9"/>
    <w:semiHidden/>
    <w:unhideWhenUsed/>
    <w:qFormat/>
    <w:pPr>
      <w:keepNext/>
      <w:keepLines/>
      <w:spacing w:before="200" w:after="40"/>
      <w:outlineLvl w:val="5"/>
    </w:pPr>
    <w:rPr>
      <w:b/>
      <w:sz w:val="20"/>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Cm">
    <w:name w:val="Title"/>
    <w:basedOn w:val="Norml"/>
    <w:next w:val="Norml"/>
    <w:uiPriority w:val="10"/>
    <w:qFormat/>
    <w:pPr>
      <w:keepNext/>
      <w:keepLines/>
      <w:spacing w:before="480" w:after="120"/>
    </w:pPr>
    <w:rPr>
      <w:b/>
      <w:sz w:val="72"/>
      <w:szCs w:val="72"/>
    </w:rPr>
  </w:style>
  <w:style w:type="paragraph" w:styleId="Listaszerbekezds">
    <w:name w:val="List Paragraph"/>
    <w:basedOn w:val="Norml"/>
    <w:uiPriority w:val="34"/>
    <w:qFormat/>
    <w:rsid w:val="0044341A"/>
    <w:pPr>
      <w:ind w:left="720"/>
      <w:contextualSpacing/>
    </w:pPr>
  </w:style>
  <w:style w:type="paragraph" w:styleId="lfej">
    <w:name w:val="header"/>
    <w:basedOn w:val="Norml"/>
    <w:link w:val="lfejChar"/>
    <w:uiPriority w:val="99"/>
    <w:unhideWhenUsed/>
    <w:rsid w:val="00883564"/>
    <w:pPr>
      <w:tabs>
        <w:tab w:val="center" w:pos="4536"/>
        <w:tab w:val="right" w:pos="9072"/>
      </w:tabs>
      <w:spacing w:after="0" w:line="240" w:lineRule="auto"/>
    </w:pPr>
  </w:style>
  <w:style w:type="character" w:customStyle="1" w:styleId="lfejChar">
    <w:name w:val="Élőfej Char"/>
    <w:basedOn w:val="Bekezdsalapbettpusa"/>
    <w:link w:val="lfej"/>
    <w:uiPriority w:val="99"/>
    <w:rsid w:val="00883564"/>
  </w:style>
  <w:style w:type="paragraph" w:styleId="llb">
    <w:name w:val="footer"/>
    <w:basedOn w:val="Norml"/>
    <w:link w:val="llbChar"/>
    <w:uiPriority w:val="99"/>
    <w:unhideWhenUsed/>
    <w:rsid w:val="00883564"/>
    <w:pPr>
      <w:tabs>
        <w:tab w:val="center" w:pos="4536"/>
        <w:tab w:val="right" w:pos="9072"/>
      </w:tabs>
      <w:spacing w:after="0" w:line="240" w:lineRule="auto"/>
    </w:pPr>
  </w:style>
  <w:style w:type="character" w:customStyle="1" w:styleId="llbChar">
    <w:name w:val="Élőláb Char"/>
    <w:basedOn w:val="Bekezdsalapbettpusa"/>
    <w:link w:val="llb"/>
    <w:uiPriority w:val="99"/>
    <w:rsid w:val="00883564"/>
  </w:style>
  <w:style w:type="paragraph" w:styleId="Buborkszveg">
    <w:name w:val="Balloon Text"/>
    <w:basedOn w:val="Norml"/>
    <w:link w:val="BuborkszvegChar"/>
    <w:uiPriority w:val="99"/>
    <w:semiHidden/>
    <w:unhideWhenUsed/>
    <w:rsid w:val="0043724C"/>
    <w:pPr>
      <w:spacing w:after="0" w:line="240" w:lineRule="auto"/>
    </w:pPr>
    <w:rPr>
      <w:sz w:val="18"/>
      <w:szCs w:val="18"/>
    </w:rPr>
  </w:style>
  <w:style w:type="character" w:customStyle="1" w:styleId="BuborkszvegChar">
    <w:name w:val="Buborékszöveg Char"/>
    <w:basedOn w:val="Bekezdsalapbettpusa"/>
    <w:link w:val="Buborkszveg"/>
    <w:uiPriority w:val="99"/>
    <w:semiHidden/>
    <w:rsid w:val="0043724C"/>
    <w:rPr>
      <w:rFonts w:ascii="Calibri" w:hAnsi="Calibri"/>
      <w:sz w:val="18"/>
      <w:szCs w:val="18"/>
    </w:rPr>
  </w:style>
  <w:style w:type="paragraph" w:styleId="Alcm">
    <w:name w:val="Subtitle"/>
    <w:basedOn w:val="Norml"/>
    <w:next w:val="Norm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qDpM232rnq5sd/vzgWEYFdadBSQ==">AMUW2mXeIQ/Ly2/fVhiI3Nnc/s7rgG8PVu1OKEmSsALeZKYESdK0+PtzET98gcrUMEuhSwkDGst+0rWl42c6o83F7Dx8M0bc4ZqkliuBLL+WPw5Oh8PWkex1mVvSp1hNURc0TrTbOxG1</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2017</Words>
  <Characters>13919</Characters>
  <Application>Microsoft Office Word</Application>
  <DocSecurity>0</DocSecurity>
  <Lines>115</Lines>
  <Paragraphs>31</Paragraphs>
  <ScaleCrop>false</ScaleCrop>
  <Company/>
  <LinksUpToDate>false</LinksUpToDate>
  <CharactersWithSpaces>15905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Gules Christiana</dc:creator>
  <cp:lastModifiedBy>Gules Christiana</cp:lastModifiedBy>
  <cp:revision>2</cp:revision>
  <dcterms:created xsi:type="dcterms:W3CDTF">2020-12-14T10:01:00Z</dcterms:created>
  <dcterms:modified xsi:type="dcterms:W3CDTF">2021-01-18T08:26:00Z</dcterms:modified>
</cp:coreProperties>
</file>